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A14" w:rsidRPr="00E504E0" w:rsidRDefault="00C01A14" w:rsidP="00C01A14">
      <w:pPr>
        <w:pStyle w:val="Listavistosa-nfasis11"/>
        <w:tabs>
          <w:tab w:val="left" w:pos="1134"/>
        </w:tabs>
        <w:spacing w:line="276" w:lineRule="auto"/>
        <w:ind w:left="360"/>
        <w:jc w:val="both"/>
        <w:rPr>
          <w:rFonts w:ascii="Arial" w:eastAsia="Times" w:hAnsi="Arial" w:cs="Arial"/>
          <w:b/>
          <w:sz w:val="22"/>
          <w:szCs w:val="22"/>
        </w:rPr>
      </w:pPr>
      <w:r>
        <w:rPr>
          <w:rFonts w:ascii="Arial" w:eastAsia="Times" w:hAnsi="Arial" w:cs="Arial"/>
          <w:b/>
          <w:sz w:val="22"/>
          <w:szCs w:val="22"/>
        </w:rPr>
        <w:t xml:space="preserve">Observaciones sobre las </w:t>
      </w:r>
      <w:r w:rsidRPr="00E504E0">
        <w:rPr>
          <w:rFonts w:ascii="Arial" w:eastAsia="Times" w:hAnsi="Arial" w:cs="Arial"/>
          <w:b/>
          <w:sz w:val="22"/>
          <w:szCs w:val="22"/>
        </w:rPr>
        <w:t>bases de reintegración de costos por la prestación de servicios a beneficiarios de otros esquemas de salud y del PDHO</w:t>
      </w:r>
      <w:r>
        <w:rPr>
          <w:rFonts w:ascii="Arial" w:eastAsia="Times" w:hAnsi="Arial" w:cs="Arial"/>
          <w:b/>
          <w:sz w:val="22"/>
          <w:szCs w:val="22"/>
        </w:rPr>
        <w:t>:</w:t>
      </w:r>
    </w:p>
    <w:p w:rsidR="00C01A14" w:rsidRDefault="00C01A14" w:rsidP="00C01A14">
      <w:pPr>
        <w:pStyle w:val="Listavistosa-nfasis11"/>
        <w:tabs>
          <w:tab w:val="left" w:pos="1134"/>
        </w:tabs>
        <w:spacing w:line="276" w:lineRule="auto"/>
        <w:ind w:left="360"/>
        <w:jc w:val="both"/>
        <w:rPr>
          <w:rFonts w:ascii="Arial" w:eastAsia="Times" w:hAnsi="Arial" w:cs="Arial"/>
          <w:b/>
          <w:sz w:val="22"/>
          <w:szCs w:val="22"/>
        </w:rPr>
      </w:pPr>
    </w:p>
    <w:p w:rsidR="009E0BD5" w:rsidRDefault="00C01A14" w:rsidP="00640B36">
      <w:pPr>
        <w:pStyle w:val="Listavistosa-nfasis11"/>
        <w:tabs>
          <w:tab w:val="left" w:pos="1134"/>
        </w:tabs>
        <w:spacing w:line="276" w:lineRule="auto"/>
        <w:ind w:left="360"/>
        <w:jc w:val="both"/>
        <w:rPr>
          <w:rFonts w:ascii="Arial" w:eastAsia="Times" w:hAnsi="Arial" w:cs="Arial"/>
          <w:sz w:val="22"/>
          <w:szCs w:val="22"/>
        </w:rPr>
      </w:pPr>
      <w:r>
        <w:rPr>
          <w:rFonts w:ascii="Arial" w:eastAsia="Times" w:hAnsi="Arial" w:cs="Arial"/>
          <w:b/>
          <w:sz w:val="22"/>
          <w:szCs w:val="22"/>
        </w:rPr>
        <w:t>Recuperación de costos de a</w:t>
      </w:r>
      <w:r w:rsidRPr="00BE775A">
        <w:rPr>
          <w:rFonts w:ascii="Arial" w:eastAsia="Times" w:hAnsi="Arial" w:cs="Arial"/>
          <w:b/>
          <w:sz w:val="22"/>
          <w:szCs w:val="22"/>
        </w:rPr>
        <w:t xml:space="preserve">tención a beneficiarios </w:t>
      </w:r>
      <w:r>
        <w:rPr>
          <w:rFonts w:ascii="Arial" w:eastAsia="Times" w:hAnsi="Arial" w:cs="Arial"/>
          <w:b/>
          <w:sz w:val="22"/>
          <w:szCs w:val="22"/>
        </w:rPr>
        <w:t>del régimen IMSS ordinario</w:t>
      </w:r>
      <w:r w:rsidRPr="00BE775A">
        <w:rPr>
          <w:rFonts w:ascii="Arial" w:eastAsia="Times" w:hAnsi="Arial" w:cs="Arial"/>
          <w:b/>
          <w:sz w:val="22"/>
          <w:szCs w:val="22"/>
        </w:rPr>
        <w:t>:</w:t>
      </w:r>
      <w:r>
        <w:rPr>
          <w:rFonts w:ascii="Arial" w:eastAsia="Times" w:hAnsi="Arial" w:cs="Arial"/>
          <w:sz w:val="22"/>
          <w:szCs w:val="22"/>
        </w:rPr>
        <w:t xml:space="preserve"> En el caso de atención en unidades médicas del Programa se cuenta con bases de cálculo del monto a reintegrar al Programa de acuerdo con los servicios médicos otorgados. Las bases de cálculo para la retribución de los servicios médicos otorgados están establecidas explícitamente, mediante una metodología de Costos unitarios de servicios médicos que son actualizados anualmente. </w:t>
      </w:r>
    </w:p>
    <w:p w:rsidR="00C01A14" w:rsidRDefault="00D45C08" w:rsidP="00640B36">
      <w:pPr>
        <w:pStyle w:val="Listavistosa-nfasis11"/>
        <w:tabs>
          <w:tab w:val="left" w:pos="1134"/>
        </w:tabs>
        <w:spacing w:line="276" w:lineRule="auto"/>
        <w:ind w:left="360"/>
        <w:jc w:val="both"/>
        <w:rPr>
          <w:rFonts w:ascii="Arial" w:eastAsia="Times" w:hAnsi="Arial" w:cs="Arial"/>
          <w:sz w:val="22"/>
          <w:szCs w:val="22"/>
        </w:rPr>
      </w:pPr>
      <w:r>
        <w:rPr>
          <w:rFonts w:ascii="Arial" w:eastAsia="Times" w:hAnsi="Arial" w:cs="Arial"/>
          <w:sz w:val="22"/>
          <w:szCs w:val="22"/>
        </w:rPr>
        <w:t xml:space="preserve">Un procedimiento similar se realiza para el pago de la atención de </w:t>
      </w:r>
      <w:r w:rsidRPr="00D45C08">
        <w:rPr>
          <w:rFonts w:ascii="Arial" w:eastAsia="Times" w:hAnsi="Arial" w:cs="Arial"/>
          <w:sz w:val="22"/>
          <w:szCs w:val="22"/>
        </w:rPr>
        <w:t>embarazadas</w:t>
      </w:r>
      <w:r>
        <w:rPr>
          <w:rFonts w:ascii="Arial" w:eastAsia="Times" w:hAnsi="Arial" w:cs="Arial"/>
          <w:sz w:val="22"/>
          <w:szCs w:val="22"/>
        </w:rPr>
        <w:t xml:space="preserve"> </w:t>
      </w:r>
      <w:r w:rsidRPr="00D45C08">
        <w:rPr>
          <w:rFonts w:ascii="Arial" w:eastAsia="Times" w:hAnsi="Arial" w:cs="Arial"/>
          <w:sz w:val="22"/>
          <w:szCs w:val="22"/>
        </w:rPr>
        <w:t>oportuno</w:t>
      </w:r>
      <w:r>
        <w:rPr>
          <w:rFonts w:ascii="Arial" w:eastAsia="Times" w:hAnsi="Arial" w:cs="Arial"/>
          <w:sz w:val="22"/>
          <w:szCs w:val="22"/>
        </w:rPr>
        <w:t>-</w:t>
      </w:r>
      <w:r w:rsidRPr="00D45C08">
        <w:rPr>
          <w:rFonts w:ascii="Arial" w:eastAsia="Times" w:hAnsi="Arial" w:cs="Arial"/>
          <w:sz w:val="22"/>
          <w:szCs w:val="22"/>
        </w:rPr>
        <w:t>habientes no derechohabientes</w:t>
      </w:r>
      <w:r w:rsidR="00640B36">
        <w:rPr>
          <w:rFonts w:ascii="Arial" w:eastAsia="Times" w:hAnsi="Arial" w:cs="Arial"/>
          <w:sz w:val="22"/>
          <w:szCs w:val="22"/>
        </w:rPr>
        <w:t xml:space="preserve"> </w:t>
      </w:r>
      <w:r>
        <w:rPr>
          <w:rFonts w:ascii="Arial" w:eastAsia="Times" w:hAnsi="Arial" w:cs="Arial"/>
          <w:sz w:val="22"/>
          <w:szCs w:val="22"/>
        </w:rPr>
        <w:t xml:space="preserve">del IMSS que </w:t>
      </w:r>
      <w:r w:rsidRPr="00D45C08">
        <w:rPr>
          <w:rFonts w:ascii="Arial" w:eastAsia="Times" w:hAnsi="Arial" w:cs="Arial"/>
          <w:sz w:val="22"/>
          <w:szCs w:val="22"/>
        </w:rPr>
        <w:t>reciban</w:t>
      </w:r>
      <w:r>
        <w:rPr>
          <w:rFonts w:ascii="Arial" w:eastAsia="Times" w:hAnsi="Arial" w:cs="Arial"/>
          <w:sz w:val="22"/>
          <w:szCs w:val="22"/>
        </w:rPr>
        <w:t xml:space="preserve"> </w:t>
      </w:r>
      <w:r w:rsidRPr="00D45C08">
        <w:rPr>
          <w:rFonts w:ascii="Arial" w:eastAsia="Times" w:hAnsi="Arial" w:cs="Arial"/>
          <w:sz w:val="22"/>
          <w:szCs w:val="22"/>
        </w:rPr>
        <w:t>atenci</w:t>
      </w:r>
      <w:r>
        <w:rPr>
          <w:rFonts w:ascii="Arial" w:eastAsia="Times" w:hAnsi="Arial" w:cs="Arial"/>
          <w:sz w:val="22"/>
          <w:szCs w:val="22"/>
        </w:rPr>
        <w:t>ó</w:t>
      </w:r>
      <w:r w:rsidRPr="00D45C08">
        <w:rPr>
          <w:rFonts w:ascii="Arial" w:eastAsia="Times" w:hAnsi="Arial" w:cs="Arial"/>
          <w:sz w:val="22"/>
          <w:szCs w:val="22"/>
        </w:rPr>
        <w:t>n obstétrica y neonatal</w:t>
      </w:r>
      <w:r>
        <w:rPr>
          <w:rFonts w:ascii="Arial" w:eastAsia="Times" w:hAnsi="Arial" w:cs="Arial"/>
          <w:sz w:val="22"/>
          <w:szCs w:val="22"/>
        </w:rPr>
        <w:t xml:space="preserve"> </w:t>
      </w:r>
      <w:r w:rsidRPr="00D45C08">
        <w:rPr>
          <w:rFonts w:ascii="Arial" w:eastAsia="Times" w:hAnsi="Arial" w:cs="Arial"/>
          <w:sz w:val="22"/>
          <w:szCs w:val="22"/>
        </w:rPr>
        <w:t xml:space="preserve">en los hospitales de régimen </w:t>
      </w:r>
      <w:r w:rsidR="00640B36">
        <w:rPr>
          <w:rFonts w:ascii="Arial" w:eastAsia="Times" w:hAnsi="Arial" w:cs="Arial"/>
          <w:sz w:val="22"/>
          <w:szCs w:val="22"/>
        </w:rPr>
        <w:t>ordinario</w:t>
      </w:r>
      <w:r>
        <w:rPr>
          <w:rFonts w:ascii="Arial" w:eastAsia="Times" w:hAnsi="Arial" w:cs="Arial"/>
          <w:sz w:val="22"/>
          <w:szCs w:val="22"/>
        </w:rPr>
        <w:t>.</w:t>
      </w:r>
    </w:p>
    <w:p w:rsidR="00C01A14" w:rsidRDefault="00C01A14" w:rsidP="00640B36">
      <w:pPr>
        <w:pStyle w:val="Listavistosa-nfasis11"/>
        <w:tabs>
          <w:tab w:val="left" w:pos="1134"/>
        </w:tabs>
        <w:spacing w:line="276" w:lineRule="auto"/>
        <w:ind w:left="360"/>
        <w:jc w:val="both"/>
        <w:rPr>
          <w:rFonts w:ascii="Arial" w:eastAsia="Times" w:hAnsi="Arial" w:cs="Arial"/>
          <w:sz w:val="22"/>
          <w:szCs w:val="22"/>
        </w:rPr>
      </w:pPr>
      <w:r>
        <w:rPr>
          <w:rFonts w:ascii="Arial" w:eastAsia="Times" w:hAnsi="Arial" w:cs="Arial"/>
          <w:sz w:val="22"/>
          <w:szCs w:val="22"/>
        </w:rPr>
        <w:t xml:space="preserve">Cabe hacer la sugerencia de incluir estimaciones de costos unitarios de las acciones preventivas y </w:t>
      </w:r>
      <w:r w:rsidR="00590DD5">
        <w:rPr>
          <w:rFonts w:ascii="Arial" w:eastAsia="Times" w:hAnsi="Arial" w:cs="Arial"/>
          <w:sz w:val="22"/>
          <w:szCs w:val="22"/>
        </w:rPr>
        <w:t xml:space="preserve">acciones </w:t>
      </w:r>
      <w:r>
        <w:rPr>
          <w:rFonts w:ascii="Arial" w:eastAsia="Times" w:hAnsi="Arial" w:cs="Arial"/>
          <w:sz w:val="22"/>
          <w:szCs w:val="22"/>
        </w:rPr>
        <w:t xml:space="preserve">comunitarias. </w:t>
      </w:r>
    </w:p>
    <w:p w:rsidR="00C01A14" w:rsidRDefault="00C01A14" w:rsidP="00640B36">
      <w:pPr>
        <w:pStyle w:val="Prrafodelista"/>
        <w:tabs>
          <w:tab w:val="left" w:pos="540"/>
        </w:tabs>
        <w:overflowPunct/>
        <w:autoSpaceDE/>
        <w:autoSpaceDN/>
        <w:adjustRightInd/>
        <w:spacing w:line="276" w:lineRule="auto"/>
        <w:ind w:left="426"/>
        <w:jc w:val="both"/>
        <w:textAlignment w:val="auto"/>
        <w:rPr>
          <w:rFonts w:ascii="Arial" w:eastAsia="Times" w:hAnsi="Arial" w:cs="Arial"/>
          <w:b/>
          <w:sz w:val="22"/>
          <w:szCs w:val="22"/>
        </w:rPr>
      </w:pPr>
    </w:p>
    <w:p w:rsidR="00C01A14"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r w:rsidRPr="00785C3D">
        <w:rPr>
          <w:rFonts w:ascii="Arial" w:eastAsia="Times" w:hAnsi="Arial" w:cs="Arial"/>
          <w:b/>
          <w:sz w:val="22"/>
          <w:szCs w:val="22"/>
        </w:rPr>
        <w:t>Integración de presupuesto Ramo 12</w:t>
      </w:r>
      <w:r>
        <w:rPr>
          <w:rFonts w:ascii="Arial" w:eastAsia="Times" w:hAnsi="Arial" w:cs="Arial"/>
          <w:b/>
          <w:sz w:val="22"/>
          <w:szCs w:val="22"/>
        </w:rPr>
        <w:t>-PDHO</w:t>
      </w:r>
      <w:r w:rsidRPr="00785C3D">
        <w:rPr>
          <w:rFonts w:ascii="Arial" w:eastAsia="Times" w:hAnsi="Arial" w:cs="Arial"/>
          <w:b/>
          <w:sz w:val="22"/>
          <w:szCs w:val="22"/>
        </w:rPr>
        <w:t>:</w:t>
      </w:r>
      <w:r w:rsidRPr="00785C3D">
        <w:rPr>
          <w:rFonts w:ascii="Arial" w:eastAsia="Times" w:hAnsi="Arial" w:cs="Arial"/>
          <w:sz w:val="22"/>
          <w:szCs w:val="22"/>
        </w:rPr>
        <w:t xml:space="preserve"> </w:t>
      </w:r>
      <w:r>
        <w:rPr>
          <w:rFonts w:ascii="Arial" w:eastAsia="Times" w:hAnsi="Arial" w:cs="Arial"/>
          <w:sz w:val="22"/>
          <w:szCs w:val="22"/>
        </w:rPr>
        <w:t xml:space="preserve">Cada año se da a conocer el presupuesto autorizado para la operación del componente de Salud del Programa de Desarrollo Humano Oportunidades a cargo de IMSS-Oportunidades. Este presupuesto es calculado con base en un estimado de familias beneficiarias y un costo promedio por familia, diferenciando entre segmento rural y urbano. Estos costos no son realizados por el Programa y no se contó con información sobre la metodología de cálculo. </w:t>
      </w:r>
    </w:p>
    <w:p w:rsidR="009E0BD5"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r>
        <w:rPr>
          <w:rFonts w:ascii="Arial" w:eastAsia="Times" w:hAnsi="Arial" w:cs="Arial"/>
          <w:sz w:val="22"/>
          <w:szCs w:val="22"/>
        </w:rPr>
        <w:t xml:space="preserve">Un análisis general: Para el ejercicio 2011, el pago realizado por el PDHO al Programa por familia para la modalidad urbana fue de $1,150 pesos, mientras que para la modalidad rural el pago por familia fue de $599 pesos. El pago promedio ponderado por familia fue de $623.6 pesos. </w:t>
      </w:r>
    </w:p>
    <w:p w:rsidR="00C01A14" w:rsidRDefault="009E0BD5" w:rsidP="009E0BD5">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r>
        <w:rPr>
          <w:rFonts w:ascii="Arial" w:eastAsia="Times" w:hAnsi="Arial" w:cs="Arial"/>
          <w:sz w:val="22"/>
          <w:szCs w:val="22"/>
        </w:rPr>
        <w:t xml:space="preserve">Considerando que en </w:t>
      </w:r>
      <w:r w:rsidR="00C01A14">
        <w:rPr>
          <w:rFonts w:ascii="Arial" w:eastAsia="Times" w:hAnsi="Arial" w:cs="Arial"/>
          <w:sz w:val="22"/>
          <w:szCs w:val="22"/>
        </w:rPr>
        <w:t xml:space="preserve">el SISPA </w:t>
      </w:r>
      <w:r>
        <w:rPr>
          <w:rFonts w:ascii="Arial" w:eastAsia="Times" w:hAnsi="Arial" w:cs="Arial"/>
          <w:sz w:val="22"/>
          <w:szCs w:val="22"/>
        </w:rPr>
        <w:t xml:space="preserve">se reporta un promedio </w:t>
      </w:r>
      <w:r w:rsidR="00C01A14">
        <w:rPr>
          <w:rFonts w:ascii="Arial" w:eastAsia="Times" w:hAnsi="Arial" w:cs="Arial"/>
          <w:sz w:val="22"/>
          <w:szCs w:val="22"/>
        </w:rPr>
        <w:t>de 2.</w:t>
      </w:r>
      <w:r w:rsidR="005E5F49">
        <w:rPr>
          <w:rFonts w:ascii="Arial" w:eastAsia="Times" w:hAnsi="Arial" w:cs="Arial"/>
          <w:sz w:val="22"/>
          <w:szCs w:val="22"/>
        </w:rPr>
        <w:t>8</w:t>
      </w:r>
      <w:r w:rsidR="00C01A14">
        <w:rPr>
          <w:rFonts w:ascii="Arial" w:eastAsia="Times" w:hAnsi="Arial" w:cs="Arial"/>
          <w:sz w:val="22"/>
          <w:szCs w:val="22"/>
        </w:rPr>
        <w:t xml:space="preserve"> </w:t>
      </w:r>
      <w:r w:rsidR="00C01A14" w:rsidRPr="00215E6A">
        <w:rPr>
          <w:rFonts w:ascii="Arial" w:eastAsia="Times" w:hAnsi="Arial" w:cs="Arial"/>
          <w:i/>
          <w:sz w:val="22"/>
          <w:szCs w:val="22"/>
        </w:rPr>
        <w:t>familiares dependientes</w:t>
      </w:r>
      <w:r w:rsidR="00C01A14">
        <w:rPr>
          <w:rFonts w:ascii="Arial" w:eastAsia="Times" w:hAnsi="Arial" w:cs="Arial"/>
          <w:sz w:val="22"/>
          <w:szCs w:val="22"/>
        </w:rPr>
        <w:t xml:space="preserve"> por </w:t>
      </w:r>
      <w:r w:rsidR="00C01A14" w:rsidRPr="00215E6A">
        <w:rPr>
          <w:rFonts w:ascii="Arial" w:eastAsia="Times" w:hAnsi="Arial" w:cs="Arial"/>
          <w:i/>
          <w:sz w:val="22"/>
          <w:szCs w:val="22"/>
        </w:rPr>
        <w:t>jefe de familia</w:t>
      </w:r>
      <w:r>
        <w:rPr>
          <w:rFonts w:ascii="Arial" w:eastAsia="Times" w:hAnsi="Arial" w:cs="Arial"/>
          <w:i/>
          <w:sz w:val="22"/>
          <w:szCs w:val="22"/>
        </w:rPr>
        <w:t xml:space="preserve">, </w:t>
      </w:r>
      <w:r>
        <w:rPr>
          <w:rFonts w:ascii="Arial" w:eastAsia="Times" w:hAnsi="Arial" w:cs="Arial"/>
          <w:sz w:val="22"/>
          <w:szCs w:val="22"/>
        </w:rPr>
        <w:t xml:space="preserve">y tomando esta cifra para </w:t>
      </w:r>
      <w:r w:rsidR="00C01A14">
        <w:rPr>
          <w:rFonts w:ascii="Arial" w:eastAsia="Times" w:hAnsi="Arial" w:cs="Arial"/>
          <w:sz w:val="22"/>
          <w:szCs w:val="22"/>
        </w:rPr>
        <w:t>aproxima</w:t>
      </w:r>
      <w:r>
        <w:rPr>
          <w:rFonts w:ascii="Arial" w:eastAsia="Times" w:hAnsi="Arial" w:cs="Arial"/>
          <w:sz w:val="22"/>
          <w:szCs w:val="22"/>
        </w:rPr>
        <w:t xml:space="preserve">r </w:t>
      </w:r>
      <w:r w:rsidR="00C01A14">
        <w:rPr>
          <w:rFonts w:ascii="Arial" w:eastAsia="Times" w:hAnsi="Arial" w:cs="Arial"/>
          <w:sz w:val="22"/>
          <w:szCs w:val="22"/>
        </w:rPr>
        <w:t>el tamaño promedio de las familias</w:t>
      </w:r>
      <w:r>
        <w:rPr>
          <w:rFonts w:ascii="Arial" w:eastAsia="Times" w:hAnsi="Arial" w:cs="Arial"/>
          <w:sz w:val="22"/>
          <w:szCs w:val="22"/>
        </w:rPr>
        <w:t xml:space="preserve"> oportuno-habientes en 3.</w:t>
      </w:r>
      <w:r w:rsidR="005E5F49">
        <w:rPr>
          <w:rFonts w:ascii="Arial" w:eastAsia="Times" w:hAnsi="Arial" w:cs="Arial"/>
          <w:sz w:val="22"/>
          <w:szCs w:val="22"/>
        </w:rPr>
        <w:t>8</w:t>
      </w:r>
      <w:r w:rsidR="00C01A14">
        <w:rPr>
          <w:rFonts w:ascii="Arial" w:eastAsia="Times" w:hAnsi="Arial" w:cs="Arial"/>
          <w:sz w:val="22"/>
          <w:szCs w:val="22"/>
        </w:rPr>
        <w:t>; entonces el pago promedio por persona pagado por el PDHO al Programa sería de $</w:t>
      </w:r>
      <w:r>
        <w:rPr>
          <w:rFonts w:ascii="Arial" w:eastAsia="Times" w:hAnsi="Arial" w:cs="Arial"/>
          <w:sz w:val="22"/>
          <w:szCs w:val="22"/>
        </w:rPr>
        <w:t>16</w:t>
      </w:r>
      <w:r w:rsidR="005E5F49">
        <w:rPr>
          <w:rFonts w:ascii="Arial" w:eastAsia="Times" w:hAnsi="Arial" w:cs="Arial"/>
          <w:sz w:val="22"/>
          <w:szCs w:val="22"/>
        </w:rPr>
        <w:t>4</w:t>
      </w:r>
      <w:r>
        <w:rPr>
          <w:rFonts w:ascii="Arial" w:eastAsia="Times" w:hAnsi="Arial" w:cs="Arial"/>
          <w:sz w:val="22"/>
          <w:szCs w:val="22"/>
        </w:rPr>
        <w:t>.</w:t>
      </w:r>
      <w:r w:rsidR="00640B36">
        <w:rPr>
          <w:rFonts w:ascii="Arial" w:eastAsia="Times" w:hAnsi="Arial" w:cs="Arial"/>
          <w:sz w:val="22"/>
          <w:szCs w:val="22"/>
        </w:rPr>
        <w:t>1</w:t>
      </w:r>
      <w:r w:rsidR="00C01A14">
        <w:rPr>
          <w:rFonts w:ascii="Arial" w:eastAsia="Times" w:hAnsi="Arial" w:cs="Arial"/>
          <w:sz w:val="22"/>
          <w:szCs w:val="22"/>
        </w:rPr>
        <w:t xml:space="preserve"> pesos. </w:t>
      </w:r>
    </w:p>
    <w:p w:rsidR="005E5F49"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r>
        <w:rPr>
          <w:rFonts w:ascii="Arial" w:eastAsia="Times" w:hAnsi="Arial" w:cs="Arial"/>
          <w:sz w:val="22"/>
          <w:szCs w:val="22"/>
        </w:rPr>
        <w:t xml:space="preserve">Contrastando esta estimación del Pago promedio por persona del PDHO al Programa </w:t>
      </w:r>
      <w:r w:rsidR="00640B36">
        <w:rPr>
          <w:rFonts w:ascii="Arial" w:eastAsia="Times" w:hAnsi="Arial" w:cs="Arial"/>
          <w:sz w:val="22"/>
          <w:szCs w:val="22"/>
        </w:rPr>
        <w:t>(</w:t>
      </w:r>
      <w:r>
        <w:rPr>
          <w:rFonts w:ascii="Arial" w:eastAsia="Times" w:hAnsi="Arial" w:cs="Arial"/>
          <w:sz w:val="22"/>
          <w:szCs w:val="22"/>
        </w:rPr>
        <w:t>$</w:t>
      </w:r>
      <w:r w:rsidR="009E0BD5">
        <w:rPr>
          <w:rFonts w:ascii="Arial" w:eastAsia="Times" w:hAnsi="Arial" w:cs="Arial"/>
          <w:sz w:val="22"/>
          <w:szCs w:val="22"/>
        </w:rPr>
        <w:t>16</w:t>
      </w:r>
      <w:r w:rsidR="005E5F49">
        <w:rPr>
          <w:rFonts w:ascii="Arial" w:eastAsia="Times" w:hAnsi="Arial" w:cs="Arial"/>
          <w:sz w:val="22"/>
          <w:szCs w:val="22"/>
        </w:rPr>
        <w:t>4</w:t>
      </w:r>
      <w:r w:rsidR="009E0BD5">
        <w:rPr>
          <w:rFonts w:ascii="Arial" w:eastAsia="Times" w:hAnsi="Arial" w:cs="Arial"/>
          <w:sz w:val="22"/>
          <w:szCs w:val="22"/>
        </w:rPr>
        <w:t>.</w:t>
      </w:r>
      <w:r w:rsidR="00640B36">
        <w:rPr>
          <w:rFonts w:ascii="Arial" w:eastAsia="Times" w:hAnsi="Arial" w:cs="Arial"/>
          <w:sz w:val="22"/>
          <w:szCs w:val="22"/>
        </w:rPr>
        <w:t>1)</w:t>
      </w:r>
      <w:r>
        <w:rPr>
          <w:rFonts w:ascii="Arial" w:eastAsia="Times" w:hAnsi="Arial" w:cs="Arial"/>
          <w:sz w:val="22"/>
          <w:szCs w:val="22"/>
        </w:rPr>
        <w:t xml:space="preserve"> con el costo unitario promedio </w:t>
      </w:r>
      <w:r w:rsidR="005E5F49">
        <w:rPr>
          <w:rFonts w:ascii="Arial" w:eastAsia="Times" w:hAnsi="Arial" w:cs="Arial"/>
          <w:sz w:val="22"/>
          <w:szCs w:val="22"/>
        </w:rPr>
        <w:t>por persona a</w:t>
      </w:r>
      <w:r w:rsidR="00640B36">
        <w:rPr>
          <w:rFonts w:ascii="Arial" w:eastAsia="Times" w:hAnsi="Arial" w:cs="Arial"/>
          <w:sz w:val="22"/>
          <w:szCs w:val="22"/>
        </w:rPr>
        <w:t>dscrita</w:t>
      </w:r>
      <w:r w:rsidR="005E5F49">
        <w:rPr>
          <w:rFonts w:ascii="Arial" w:eastAsia="Times" w:hAnsi="Arial" w:cs="Arial"/>
          <w:sz w:val="22"/>
          <w:szCs w:val="22"/>
        </w:rPr>
        <w:t xml:space="preserve"> de $783 pesos</w:t>
      </w:r>
      <w:r w:rsidR="00640B36">
        <w:rPr>
          <w:rFonts w:ascii="Arial" w:eastAsia="Times" w:hAnsi="Arial" w:cs="Arial"/>
          <w:sz w:val="22"/>
          <w:szCs w:val="22"/>
        </w:rPr>
        <w:t xml:space="preserve"> (</w:t>
      </w:r>
      <w:r w:rsidR="005E5F49">
        <w:rPr>
          <w:rFonts w:ascii="Arial" w:eastAsia="Times" w:hAnsi="Arial" w:cs="Arial"/>
          <w:sz w:val="22"/>
          <w:szCs w:val="22"/>
        </w:rPr>
        <w:t>estimado</w:t>
      </w:r>
      <w:r>
        <w:rPr>
          <w:rFonts w:ascii="Arial" w:eastAsia="Times" w:hAnsi="Arial" w:cs="Arial"/>
          <w:sz w:val="22"/>
          <w:szCs w:val="22"/>
        </w:rPr>
        <w:t xml:space="preserve"> para esta evaluación</w:t>
      </w:r>
      <w:r w:rsidR="00640B36">
        <w:rPr>
          <w:rFonts w:ascii="Arial" w:eastAsia="Times" w:hAnsi="Arial" w:cs="Arial"/>
          <w:sz w:val="22"/>
          <w:szCs w:val="22"/>
        </w:rPr>
        <w:t xml:space="preserve"> en </w:t>
      </w:r>
      <w:r w:rsidR="00E65C23">
        <w:rPr>
          <w:rFonts w:ascii="Arial" w:eastAsia="Times" w:hAnsi="Arial" w:cs="Arial"/>
          <w:sz w:val="22"/>
          <w:szCs w:val="22"/>
        </w:rPr>
        <w:t xml:space="preserve">la </w:t>
      </w:r>
      <w:r w:rsidR="00640B36">
        <w:rPr>
          <w:rFonts w:ascii="Arial" w:eastAsia="Times" w:hAnsi="Arial" w:cs="Arial"/>
          <w:sz w:val="22"/>
          <w:szCs w:val="22"/>
        </w:rPr>
        <w:t>pregunta 38)</w:t>
      </w:r>
      <w:r>
        <w:rPr>
          <w:rFonts w:ascii="Arial" w:eastAsia="Times" w:hAnsi="Arial" w:cs="Arial"/>
          <w:sz w:val="22"/>
          <w:szCs w:val="22"/>
        </w:rPr>
        <w:t xml:space="preserve">, resulta que el pago recibido corresponde apenas al </w:t>
      </w:r>
      <w:r w:rsidR="009E0BD5">
        <w:rPr>
          <w:rFonts w:ascii="Arial" w:eastAsia="Times" w:hAnsi="Arial" w:cs="Arial"/>
          <w:sz w:val="22"/>
          <w:szCs w:val="22"/>
        </w:rPr>
        <w:t>2</w:t>
      </w:r>
      <w:r w:rsidR="00640B36">
        <w:rPr>
          <w:rFonts w:ascii="Arial" w:eastAsia="Times" w:hAnsi="Arial" w:cs="Arial"/>
          <w:sz w:val="22"/>
          <w:szCs w:val="22"/>
        </w:rPr>
        <w:t>4</w:t>
      </w:r>
      <w:r>
        <w:rPr>
          <w:rFonts w:ascii="Arial" w:eastAsia="Times" w:hAnsi="Arial" w:cs="Arial"/>
          <w:sz w:val="22"/>
          <w:szCs w:val="22"/>
        </w:rPr>
        <w:t>% del costo.</w:t>
      </w:r>
      <w:r w:rsidR="005E5F49">
        <w:rPr>
          <w:rFonts w:ascii="Arial" w:eastAsia="Times" w:hAnsi="Arial" w:cs="Arial"/>
          <w:sz w:val="22"/>
          <w:szCs w:val="22"/>
        </w:rPr>
        <w:t xml:space="preserve"> </w:t>
      </w:r>
    </w:p>
    <w:p w:rsidR="00C01A14"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r>
        <w:rPr>
          <w:rFonts w:ascii="Arial" w:eastAsia="Times" w:hAnsi="Arial" w:cs="Arial"/>
          <w:sz w:val="22"/>
          <w:szCs w:val="22"/>
        </w:rPr>
        <w:t xml:space="preserve">De este análisis general, se </w:t>
      </w:r>
      <w:r w:rsidR="00CF39C9">
        <w:rPr>
          <w:rFonts w:ascii="Arial" w:eastAsia="Times" w:hAnsi="Arial" w:cs="Arial"/>
          <w:sz w:val="22"/>
          <w:szCs w:val="22"/>
        </w:rPr>
        <w:t xml:space="preserve">desprende evidencia de </w:t>
      </w:r>
      <w:r>
        <w:rPr>
          <w:rFonts w:ascii="Arial" w:eastAsia="Times" w:hAnsi="Arial" w:cs="Arial"/>
          <w:sz w:val="22"/>
          <w:szCs w:val="22"/>
        </w:rPr>
        <w:t xml:space="preserve">que las retribuciones al Programa </w:t>
      </w:r>
      <w:r w:rsidR="00CF39C9">
        <w:rPr>
          <w:rFonts w:ascii="Arial" w:eastAsia="Times" w:hAnsi="Arial" w:cs="Arial"/>
          <w:sz w:val="22"/>
          <w:szCs w:val="22"/>
        </w:rPr>
        <w:t xml:space="preserve">no </w:t>
      </w:r>
      <w:r>
        <w:rPr>
          <w:rFonts w:ascii="Arial" w:eastAsia="Times" w:hAnsi="Arial" w:cs="Arial"/>
          <w:sz w:val="22"/>
          <w:szCs w:val="22"/>
        </w:rPr>
        <w:t>reintegran el costo real de los servicios otorgados</w:t>
      </w:r>
      <w:r w:rsidR="005E5F49">
        <w:rPr>
          <w:rFonts w:ascii="Arial" w:eastAsia="Times" w:hAnsi="Arial" w:cs="Arial"/>
          <w:sz w:val="22"/>
          <w:szCs w:val="22"/>
        </w:rPr>
        <w:t xml:space="preserve"> a beneficiarios del PDHO</w:t>
      </w:r>
      <w:r>
        <w:rPr>
          <w:rFonts w:ascii="Arial" w:eastAsia="Times" w:hAnsi="Arial" w:cs="Arial"/>
          <w:sz w:val="22"/>
          <w:szCs w:val="22"/>
        </w:rPr>
        <w:t xml:space="preserve">. Por lo </w:t>
      </w:r>
      <w:r w:rsidR="005E5F49">
        <w:rPr>
          <w:rFonts w:ascii="Arial" w:eastAsia="Times" w:hAnsi="Arial" w:cs="Arial"/>
          <w:sz w:val="22"/>
          <w:szCs w:val="22"/>
        </w:rPr>
        <w:t>que</w:t>
      </w:r>
      <w:r>
        <w:rPr>
          <w:rFonts w:ascii="Arial" w:eastAsia="Times" w:hAnsi="Arial" w:cs="Arial"/>
          <w:sz w:val="22"/>
          <w:szCs w:val="22"/>
        </w:rPr>
        <w:t xml:space="preserve"> se recomienda realizar un análisis de la congruencia entre el monto retribuido al Programa por servicios otorgados y el gasto real </w:t>
      </w:r>
      <w:r w:rsidR="005E5F49">
        <w:rPr>
          <w:rFonts w:ascii="Arial" w:eastAsia="Times" w:hAnsi="Arial" w:cs="Arial"/>
          <w:sz w:val="22"/>
          <w:szCs w:val="22"/>
        </w:rPr>
        <w:t xml:space="preserve">erogado </w:t>
      </w:r>
      <w:r>
        <w:rPr>
          <w:rFonts w:ascii="Arial" w:eastAsia="Times" w:hAnsi="Arial" w:cs="Arial"/>
          <w:sz w:val="22"/>
          <w:szCs w:val="22"/>
        </w:rPr>
        <w:t>para atender a la población beneficiaria del PDHO.</w:t>
      </w:r>
    </w:p>
    <w:p w:rsidR="00C01A14"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p>
    <w:p w:rsidR="00C01A14" w:rsidRDefault="00C01A14" w:rsidP="00C01A14">
      <w:pPr>
        <w:pStyle w:val="Listavistosa-nfasis11"/>
        <w:tabs>
          <w:tab w:val="left" w:pos="1134"/>
        </w:tabs>
        <w:spacing w:line="276" w:lineRule="auto"/>
        <w:ind w:left="360"/>
        <w:jc w:val="both"/>
        <w:rPr>
          <w:rFonts w:ascii="Arial" w:eastAsia="Times" w:hAnsi="Arial" w:cs="Arial"/>
          <w:sz w:val="22"/>
          <w:szCs w:val="22"/>
        </w:rPr>
      </w:pPr>
      <w:r>
        <w:rPr>
          <w:rFonts w:ascii="Arial" w:eastAsia="Times" w:hAnsi="Arial" w:cs="Arial"/>
          <w:b/>
          <w:sz w:val="22"/>
          <w:szCs w:val="22"/>
        </w:rPr>
        <w:t>Recuperación de costos de a</w:t>
      </w:r>
      <w:r w:rsidRPr="00BE775A">
        <w:rPr>
          <w:rFonts w:ascii="Arial" w:eastAsia="Times" w:hAnsi="Arial" w:cs="Arial"/>
          <w:b/>
          <w:sz w:val="22"/>
          <w:szCs w:val="22"/>
        </w:rPr>
        <w:t xml:space="preserve">tención a beneficiarios </w:t>
      </w:r>
      <w:r>
        <w:rPr>
          <w:rFonts w:ascii="Arial" w:eastAsia="Times" w:hAnsi="Arial" w:cs="Arial"/>
          <w:b/>
          <w:sz w:val="22"/>
          <w:szCs w:val="22"/>
        </w:rPr>
        <w:t xml:space="preserve">de </w:t>
      </w:r>
      <w:r w:rsidRPr="00BE775A">
        <w:rPr>
          <w:rFonts w:ascii="Arial" w:eastAsia="Times" w:hAnsi="Arial" w:cs="Arial"/>
          <w:b/>
          <w:sz w:val="22"/>
          <w:szCs w:val="22"/>
        </w:rPr>
        <w:t>otros esquemas de salud:</w:t>
      </w:r>
      <w:r>
        <w:rPr>
          <w:rFonts w:ascii="Arial" w:eastAsia="Times" w:hAnsi="Arial" w:cs="Arial"/>
          <w:b/>
          <w:sz w:val="22"/>
          <w:szCs w:val="22"/>
        </w:rPr>
        <w:t xml:space="preserve"> </w:t>
      </w:r>
      <w:r>
        <w:rPr>
          <w:rFonts w:ascii="Arial" w:eastAsia="Times" w:hAnsi="Arial" w:cs="Arial"/>
          <w:sz w:val="22"/>
          <w:szCs w:val="22"/>
        </w:rPr>
        <w:t>No se contó con información sobre el mecanismo de reintegración de costos por la atención a beneficiarios de otros esquemas. Sin embargo, para 2011 se reportó información sobre un monto global de reintegración de costos por parte del Seguro Popular, no así con el detalle y documentación del mismo.</w:t>
      </w:r>
    </w:p>
    <w:p w:rsidR="00C01A14"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p>
    <w:p w:rsidR="00C01A14"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r>
        <w:rPr>
          <w:rFonts w:ascii="Arial" w:eastAsia="Times" w:hAnsi="Arial" w:cs="Arial"/>
          <w:sz w:val="22"/>
          <w:szCs w:val="22"/>
        </w:rPr>
        <w:t>Por lo anterior, se recomienda que con el objetivo de garantizar la viabilidad financiera del Programa a mediano plazo, se verifique la congruencia entre el costo de servicios otorgados (médicos</w:t>
      </w:r>
      <w:r w:rsidR="00152E4C">
        <w:rPr>
          <w:rFonts w:ascii="Arial" w:eastAsia="Times" w:hAnsi="Arial" w:cs="Arial"/>
          <w:sz w:val="22"/>
          <w:szCs w:val="22"/>
        </w:rPr>
        <w:t xml:space="preserve">, preventivos </w:t>
      </w:r>
      <w:r>
        <w:rPr>
          <w:rFonts w:ascii="Arial" w:eastAsia="Times" w:hAnsi="Arial" w:cs="Arial"/>
          <w:sz w:val="22"/>
          <w:szCs w:val="22"/>
        </w:rPr>
        <w:t>y de acciones comunitarias) y el monto reintegrado por otros esquemas de salud.</w:t>
      </w:r>
    </w:p>
    <w:p w:rsidR="00C01A14" w:rsidRPr="00785C3D" w:rsidRDefault="00C01A14" w:rsidP="00C01A14">
      <w:pPr>
        <w:pStyle w:val="Prrafodelista"/>
        <w:tabs>
          <w:tab w:val="left" w:pos="540"/>
        </w:tabs>
        <w:overflowPunct/>
        <w:autoSpaceDE/>
        <w:autoSpaceDN/>
        <w:adjustRightInd/>
        <w:spacing w:line="276" w:lineRule="auto"/>
        <w:ind w:left="426"/>
        <w:jc w:val="both"/>
        <w:textAlignment w:val="auto"/>
        <w:rPr>
          <w:rFonts w:ascii="Arial" w:eastAsia="Times" w:hAnsi="Arial" w:cs="Arial"/>
          <w:sz w:val="22"/>
          <w:szCs w:val="22"/>
        </w:rPr>
      </w:pPr>
    </w:p>
    <w:p w:rsidR="00C01A14" w:rsidRDefault="00C01A14" w:rsidP="00C01A14"/>
    <w:p w:rsidR="00663E0F" w:rsidRDefault="00663E0F"/>
    <w:sectPr w:rsidR="00663E0F" w:rsidSect="00CF39C9">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C01A14"/>
    <w:rsid w:val="00152E4C"/>
    <w:rsid w:val="00590DD5"/>
    <w:rsid w:val="005E5F49"/>
    <w:rsid w:val="00640B36"/>
    <w:rsid w:val="00663E0F"/>
    <w:rsid w:val="007D3073"/>
    <w:rsid w:val="00814F50"/>
    <w:rsid w:val="009E0BD5"/>
    <w:rsid w:val="00C01A14"/>
    <w:rsid w:val="00C5564B"/>
    <w:rsid w:val="00CF39C9"/>
    <w:rsid w:val="00D45C08"/>
    <w:rsid w:val="00E65C2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A1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C01A14"/>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C01A14"/>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509</Words>
  <Characters>2800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acr</dc:creator>
  <cp:lastModifiedBy>angelica.castror</cp:lastModifiedBy>
  <cp:revision>2</cp:revision>
  <dcterms:created xsi:type="dcterms:W3CDTF">2012-04-23T15:35:00Z</dcterms:created>
  <dcterms:modified xsi:type="dcterms:W3CDTF">2012-04-23T15:35:00Z</dcterms:modified>
</cp:coreProperties>
</file>