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E52C182" w14:textId="61E23B2F" w:rsidR="0030476A" w:rsidRPr="000A408C" w:rsidRDefault="004A2714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  <w:r w:rsidRPr="00DA1B19">
        <w:rPr>
          <w:rFonts w:ascii="Geomanist" w:hAnsi="Geomanist"/>
          <w:noProof/>
          <w:sz w:val="21"/>
          <w:szCs w:val="21"/>
          <w:lang w:val="es-MX" w:eastAsia="es-MX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A4F6F4B" wp14:editId="4819ECDC">
                <wp:simplePos x="0" y="0"/>
                <wp:positionH relativeFrom="column">
                  <wp:posOffset>3178586</wp:posOffset>
                </wp:positionH>
                <wp:positionV relativeFrom="paragraph">
                  <wp:posOffset>-10160</wp:posOffset>
                </wp:positionV>
                <wp:extent cx="3039110" cy="638175"/>
                <wp:effectExtent l="0" t="0" r="8890" b="9525"/>
                <wp:wrapSquare wrapText="bothSides"/>
                <wp:docPr id="3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3911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C572A759-6A51-4108-AA02-DFA0A04FC94B}">
  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w16sdtfl="http://schemas.microsoft.com/office/word/2024/wordml/sdtformatlock"/>
                          </a:ext>
                        </a:extLst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215F3261" w14:textId="5B72523F" w:rsidR="00DA1B19" w:rsidRPr="004A2714" w:rsidRDefault="004A271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</w:pPr>
                            <w:r w:rsidRPr="004A2714">
                              <w:rPr>
                                <w:rFonts w:ascii="Noto Sans" w:hAnsi="Noto Sans" w:cs="Noto Sans"/>
                                <w:color w:val="BA8C54"/>
                                <w:sz w:val="28"/>
                                <w:szCs w:val="28"/>
                              </w:rPr>
                              <w:t>BOLETÍN DE PRENSA</w:t>
                            </w:r>
                          </w:p>
                          <w:p w14:paraId="27C1B513" w14:textId="6919EBC9" w:rsidR="005B52A4" w:rsidRDefault="00DA1B19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</w:pP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Ciudad de México, </w:t>
                            </w:r>
                            <w:r w:rsidR="004013D7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viernes 10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de 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enero </w:t>
                            </w:r>
                            <w:r w:rsidRPr="004E0D31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de 202</w:t>
                            </w:r>
                            <w:r w:rsidR="004A2714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5</w:t>
                            </w:r>
                          </w:p>
                          <w:p w14:paraId="5C1C7F70" w14:textId="687192F1" w:rsidR="00DA1B19" w:rsidRPr="004E0D31" w:rsidRDefault="005B52A4" w:rsidP="004A2714">
                            <w:pPr>
                              <w:spacing w:before="120" w:after="40" w:line="220" w:lineRule="exact"/>
                              <w:jc w:val="right"/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No. </w:t>
                            </w:r>
                            <w:r w:rsidR="004013D7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015</w:t>
                            </w:r>
                            <w:r w:rsidR="00557D90"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Noto Sans" w:eastAsia="Montserrat Medium" w:hAnsi="Noto Sans" w:cs="Noto Sans"/>
                                <w:sz w:val="20"/>
                                <w:szCs w:val="20"/>
                              </w:rPr>
                              <w:t>/2025</w:t>
                            </w:r>
                            <w:r w:rsidR="00DA1B19" w:rsidRPr="004E0D31">
                              <w:rPr>
                                <w:rFonts w:ascii="Noto Sans" w:hAnsi="Noto Sans" w:cs="Noto Sans"/>
                                <w:sz w:val="20"/>
                                <w:szCs w:val="2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4F6F4B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50.3pt;margin-top:-.8pt;width:239.3pt;height:50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" filled="f" stroked="f">
                <v:textbox inset="0,0,0,0">
                  <w:txbxContent>
                    <w:p w14:paraId="215F3261" w14:textId="5B72523F" w:rsidR="00DA1B19" w:rsidRPr="004A2714" w:rsidRDefault="004A271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</w:pPr>
                      <w:r w:rsidRPr="004A2714">
                        <w:rPr>
                          <w:rFonts w:ascii="Noto Sans" w:hAnsi="Noto Sans" w:cs="Noto Sans"/>
                          <w:color w:val="BA8C54"/>
                          <w:sz w:val="28"/>
                          <w:szCs w:val="28"/>
                        </w:rPr>
                        <w:t>BOLETÍN DE PRENSA</w:t>
                      </w:r>
                    </w:p>
                    <w:p w14:paraId="27C1B513" w14:textId="6919EBC9" w:rsidR="005B52A4" w:rsidRDefault="00DA1B19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</w:pP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Ciudad de México, </w:t>
                      </w:r>
                      <w:r w:rsidR="004013D7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viernes 10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de 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enero </w:t>
                      </w:r>
                      <w:r w:rsidRPr="004E0D31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de 202</w:t>
                      </w:r>
                      <w:r w:rsidR="004A2714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5</w:t>
                      </w:r>
                    </w:p>
                    <w:p w14:paraId="5C1C7F70" w14:textId="687192F1" w:rsidR="00DA1B19" w:rsidRPr="004E0D31" w:rsidRDefault="005B52A4" w:rsidP="004A2714">
                      <w:pPr>
                        <w:spacing w:before="120" w:after="40" w:line="220" w:lineRule="exact"/>
                        <w:jc w:val="right"/>
                        <w:rPr>
                          <w:rFonts w:ascii="Noto Sans" w:hAnsi="Noto Sans" w:cs="Noto Sans"/>
                          <w:sz w:val="20"/>
                          <w:szCs w:val="20"/>
                        </w:rPr>
                      </w:pP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No. </w:t>
                      </w:r>
                      <w:r w:rsidR="004013D7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015</w:t>
                      </w:r>
                      <w:r w:rsidR="00557D90"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 xml:space="preserve"> </w:t>
                      </w:r>
                      <w:r>
                        <w:rPr>
                          <w:rFonts w:ascii="Noto Sans" w:eastAsia="Montserrat Medium" w:hAnsi="Noto Sans" w:cs="Noto Sans"/>
                          <w:sz w:val="20"/>
                          <w:szCs w:val="20"/>
                        </w:rPr>
                        <w:t>/2025</w:t>
                      </w:r>
                      <w:r w:rsidR="00DA1B19" w:rsidRPr="004E0D31">
                        <w:rPr>
                          <w:rFonts w:ascii="Noto Sans" w:hAnsi="Noto Sans" w:cs="Noto Sans"/>
                          <w:sz w:val="20"/>
                          <w:szCs w:val="20"/>
                        </w:rPr>
                        <w:t xml:space="preserve">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A73D65" w:rsidRPr="00007681">
        <w:rPr>
          <w:rFonts w:ascii="Geomanist" w:hAnsi="Geomanist"/>
          <w:sz w:val="21"/>
          <w:szCs w:val="21"/>
          <w:lang w:val="es-MX"/>
        </w:rPr>
        <w:t xml:space="preserve"> </w:t>
      </w:r>
    </w:p>
    <w:p w14:paraId="323893EE" w14:textId="0730CFDF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59E3A062" w14:textId="63C6EF96" w:rsidR="00330DC8" w:rsidRPr="000A408C" w:rsidRDefault="00330DC8" w:rsidP="00A73D65">
      <w:pPr>
        <w:spacing w:line="360" w:lineRule="auto"/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6D41F29D" w14:textId="77777777" w:rsidR="004013D7" w:rsidRDefault="004013D7" w:rsidP="00224C3B">
      <w:pPr>
        <w:jc w:val="center"/>
        <w:rPr>
          <w:rFonts w:ascii="Noto Sans" w:hAnsi="Noto Sans" w:cs="Noto Sans"/>
          <w:b/>
          <w:bCs/>
          <w:sz w:val="28"/>
          <w:szCs w:val="32"/>
        </w:rPr>
      </w:pPr>
    </w:p>
    <w:p w14:paraId="2426DB99" w14:textId="79528194" w:rsidR="004013D7" w:rsidRDefault="00224C3B" w:rsidP="00224C3B">
      <w:pPr>
        <w:jc w:val="center"/>
        <w:rPr>
          <w:rFonts w:ascii="Noto Sans" w:hAnsi="Noto Sans" w:cs="Noto Sans"/>
          <w:b/>
          <w:bCs/>
          <w:sz w:val="28"/>
          <w:szCs w:val="32"/>
        </w:rPr>
      </w:pPr>
      <w:r w:rsidRPr="000C7092">
        <w:rPr>
          <w:rFonts w:ascii="Noto Sans" w:hAnsi="Noto Sans" w:cs="Noto Sans"/>
          <w:b/>
          <w:bCs/>
          <w:sz w:val="28"/>
          <w:szCs w:val="32"/>
        </w:rPr>
        <w:t xml:space="preserve">Cuenta IMSS con protocolo de servicio integral para pacientes </w:t>
      </w:r>
    </w:p>
    <w:p w14:paraId="0C26CB57" w14:textId="187A3A9A" w:rsidR="001A7BE6" w:rsidRPr="000C7092" w:rsidRDefault="00224C3B" w:rsidP="00224C3B">
      <w:pPr>
        <w:jc w:val="center"/>
        <w:rPr>
          <w:rFonts w:ascii="Noto Sans" w:hAnsi="Noto Sans" w:cs="Noto Sans"/>
          <w:b/>
          <w:bCs/>
          <w:sz w:val="28"/>
          <w:szCs w:val="32"/>
        </w:rPr>
      </w:pPr>
      <w:r w:rsidRPr="000C7092">
        <w:rPr>
          <w:rFonts w:ascii="Noto Sans" w:hAnsi="Noto Sans" w:cs="Noto Sans"/>
          <w:b/>
          <w:bCs/>
          <w:sz w:val="28"/>
          <w:szCs w:val="32"/>
        </w:rPr>
        <w:t>con embarazos bioquímicos</w:t>
      </w:r>
    </w:p>
    <w:p w14:paraId="4473D9BE" w14:textId="77777777" w:rsidR="00224C3B" w:rsidRPr="000A408C" w:rsidRDefault="00224C3B" w:rsidP="001A7BE6">
      <w:pPr>
        <w:jc w:val="both"/>
        <w:rPr>
          <w:rFonts w:ascii="Noto Sans" w:hAnsi="Noto Sans" w:cs="Noto Sans"/>
          <w:sz w:val="19"/>
          <w:szCs w:val="19"/>
          <w:lang w:val="es-MX"/>
        </w:rPr>
      </w:pPr>
    </w:p>
    <w:p w14:paraId="31F683BA" w14:textId="298D6012" w:rsidR="00E21D7E" w:rsidRPr="00E21D7E" w:rsidRDefault="00E21D7E" w:rsidP="00556390">
      <w:pPr>
        <w:pStyle w:val="Prrafodelista"/>
        <w:numPr>
          <w:ilvl w:val="0"/>
          <w:numId w:val="1"/>
        </w:numPr>
        <w:jc w:val="both"/>
        <w:rPr>
          <w:rFonts w:ascii="Noto Sans" w:hAnsi="Noto Sans" w:cs="Noto Sans"/>
          <w:b/>
          <w:bCs/>
          <w:sz w:val="22"/>
          <w:szCs w:val="22"/>
        </w:rPr>
      </w:pPr>
      <w:r w:rsidRPr="00E21D7E">
        <w:rPr>
          <w:rFonts w:ascii="Noto Sans" w:hAnsi="Noto Sans" w:cs="Noto Sans"/>
          <w:b/>
          <w:bCs/>
          <w:sz w:val="22"/>
          <w:szCs w:val="22"/>
        </w:rPr>
        <w:t>Un embarazo bioquímico es donde el embrión o el saco implantado deja de desarrollarse y generalmente evoluciona en un aborto espontáneo.</w:t>
      </w:r>
    </w:p>
    <w:p w14:paraId="66A6FC00" w14:textId="4AE6C3B4" w:rsidR="00E21D7E" w:rsidRDefault="002C1960" w:rsidP="00556390">
      <w:pPr>
        <w:pStyle w:val="Prrafodelista"/>
        <w:numPr>
          <w:ilvl w:val="0"/>
          <w:numId w:val="1"/>
        </w:numPr>
        <w:ind w:right="49"/>
        <w:jc w:val="both"/>
        <w:rPr>
          <w:rFonts w:ascii="Noto Sans" w:hAnsi="Noto Sans" w:cs="Noto Sans"/>
          <w:b/>
          <w:bCs/>
          <w:sz w:val="22"/>
          <w:szCs w:val="22"/>
        </w:rPr>
      </w:pPr>
      <w:r w:rsidRPr="002C1960">
        <w:rPr>
          <w:rFonts w:ascii="Noto Sans" w:hAnsi="Noto Sans" w:cs="Noto Sans"/>
          <w:b/>
          <w:bCs/>
          <w:sz w:val="22"/>
          <w:szCs w:val="22"/>
        </w:rPr>
        <w:t>La jefa del Departamento de Complicaciones de la Primera Mitad del Embarazo del Hospital Gineco-Obstetricia No. 4, doctora Arely Peñaloza Nolasco, indicó que en el primer semestre de 2024 se atendieron 217 casos</w:t>
      </w:r>
      <w:r>
        <w:rPr>
          <w:rFonts w:ascii="Noto Sans" w:hAnsi="Noto Sans" w:cs="Noto Sans"/>
          <w:b/>
          <w:bCs/>
          <w:sz w:val="22"/>
          <w:szCs w:val="22"/>
        </w:rPr>
        <w:t>.</w:t>
      </w:r>
    </w:p>
    <w:p w14:paraId="3F1E3948" w14:textId="104AED91" w:rsidR="001A7BE6" w:rsidRPr="00556390" w:rsidRDefault="001A7BE6" w:rsidP="002C1960">
      <w:pPr>
        <w:pStyle w:val="Prrafodelista"/>
        <w:ind w:left="709" w:right="-1085"/>
        <w:jc w:val="both"/>
        <w:rPr>
          <w:rFonts w:ascii="Noto Sans" w:hAnsi="Noto Sans" w:cs="Noto Sans"/>
          <w:b/>
          <w:bCs/>
          <w:sz w:val="18"/>
        </w:rPr>
      </w:pPr>
    </w:p>
    <w:p w14:paraId="2CB6A683" w14:textId="5A132335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E38AB">
        <w:rPr>
          <w:rFonts w:ascii="Noto Sans" w:hAnsi="Noto Sans" w:cs="Noto Sans"/>
          <w:sz w:val="20"/>
          <w:szCs w:val="20"/>
        </w:rPr>
        <w:t xml:space="preserve">El Instituto Mexicano del Seguro Social (IMSS) cuenta con protocolos para </w:t>
      </w:r>
      <w:r w:rsidR="00556390">
        <w:rPr>
          <w:rFonts w:ascii="Noto Sans" w:hAnsi="Noto Sans" w:cs="Noto Sans"/>
          <w:sz w:val="20"/>
          <w:szCs w:val="20"/>
        </w:rPr>
        <w:t xml:space="preserve">atender a </w:t>
      </w:r>
      <w:r w:rsidRPr="004E38AB">
        <w:rPr>
          <w:rFonts w:ascii="Noto Sans" w:hAnsi="Noto Sans" w:cs="Noto Sans"/>
          <w:sz w:val="20"/>
          <w:szCs w:val="20"/>
        </w:rPr>
        <w:t xml:space="preserve">pacientes con datos de embarazo bioquímico, condición donde el espermatozoide fecunda </w:t>
      </w:r>
      <w:r w:rsidR="00556390">
        <w:rPr>
          <w:rFonts w:ascii="Noto Sans" w:hAnsi="Noto Sans" w:cs="Noto Sans"/>
          <w:sz w:val="20"/>
          <w:szCs w:val="20"/>
        </w:rPr>
        <w:t>a</w:t>
      </w:r>
      <w:r w:rsidRPr="004E38AB">
        <w:rPr>
          <w:rFonts w:ascii="Noto Sans" w:hAnsi="Noto Sans" w:cs="Noto Sans"/>
          <w:sz w:val="20"/>
          <w:szCs w:val="20"/>
        </w:rPr>
        <w:t xml:space="preserve">l óvulo y se forma el embrión que se implanta en el útero, y ya sea el embrión o el saco implantado ha dejado de desarrollarse en las primeras semanas de gestación, lo cual generalmente evoluciona en un aborto espontáneo. </w:t>
      </w:r>
    </w:p>
    <w:p w14:paraId="761EBFAF" w14:textId="77777777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4ACA373" w14:textId="16527EC5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E38AB">
        <w:rPr>
          <w:rFonts w:ascii="Noto Sans" w:hAnsi="Noto Sans" w:cs="Noto Sans"/>
          <w:sz w:val="20"/>
          <w:szCs w:val="20"/>
        </w:rPr>
        <w:t xml:space="preserve">La jefa del Departamento de Complicaciones de la Primera Mitad del Embarazo del Hospital Gineco-Obstetricia No. 4 “Luis Castelazo Ayala”, doctora Arely Peñaloza Nolasco, </w:t>
      </w:r>
      <w:r w:rsidR="00556390">
        <w:rPr>
          <w:rFonts w:ascii="Noto Sans" w:hAnsi="Noto Sans" w:cs="Noto Sans"/>
          <w:sz w:val="20"/>
          <w:szCs w:val="20"/>
        </w:rPr>
        <w:t>dijo</w:t>
      </w:r>
      <w:r w:rsidRPr="004E38AB">
        <w:rPr>
          <w:rFonts w:ascii="Noto Sans" w:hAnsi="Noto Sans" w:cs="Noto Sans"/>
          <w:sz w:val="20"/>
          <w:szCs w:val="20"/>
        </w:rPr>
        <w:t xml:space="preserve"> que a las pacientes que llegan a presentar esta situación se les ingresa a piso y el servicio de Psicología les brinda apoyo </w:t>
      </w:r>
      <w:r w:rsidR="00556390">
        <w:rPr>
          <w:rFonts w:ascii="Noto Sans" w:hAnsi="Noto Sans" w:cs="Noto Sans"/>
          <w:sz w:val="20"/>
          <w:szCs w:val="20"/>
        </w:rPr>
        <w:t>si</w:t>
      </w:r>
      <w:r w:rsidRPr="004E38AB">
        <w:rPr>
          <w:rFonts w:ascii="Noto Sans" w:hAnsi="Noto Sans" w:cs="Noto Sans"/>
          <w:sz w:val="20"/>
          <w:szCs w:val="20"/>
        </w:rPr>
        <w:t xml:space="preserve"> lo ameritan; además, son valoradas por el servicio de Psiquiatría y, si es n</w:t>
      </w:r>
      <w:r w:rsidR="00556390">
        <w:rPr>
          <w:rFonts w:ascii="Noto Sans" w:hAnsi="Noto Sans" w:cs="Noto Sans"/>
          <w:sz w:val="20"/>
          <w:szCs w:val="20"/>
        </w:rPr>
        <w:t>ecesario, se inicia medicación.</w:t>
      </w:r>
    </w:p>
    <w:p w14:paraId="3E072475" w14:textId="77777777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30E6064" w14:textId="058C3F64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E38AB">
        <w:rPr>
          <w:rFonts w:ascii="Noto Sans" w:hAnsi="Noto Sans" w:cs="Noto Sans"/>
          <w:sz w:val="20"/>
          <w:szCs w:val="20"/>
        </w:rPr>
        <w:t>La especialista de la Unidad Médica de Alta Especialidad (UMAE) abundó que se les otorga consejería sobre Métodos de Planificación Familiar y aplicación de los mismos antes de su egreso, y se continúa con el seguimiento médico en Consulta Externa.</w:t>
      </w:r>
    </w:p>
    <w:p w14:paraId="4994A588" w14:textId="77777777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69F3E00" w14:textId="7EB79AD6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E38AB">
        <w:rPr>
          <w:rFonts w:ascii="Noto Sans" w:hAnsi="Noto Sans" w:cs="Noto Sans"/>
          <w:sz w:val="20"/>
          <w:szCs w:val="20"/>
        </w:rPr>
        <w:t xml:space="preserve">Expuso que en un embarazo bioquímico el cuerpo produce la hormona gonadotropina coriónica humana (beta-hCG), lo que hace que la prueba de embarazo dé positivo. Sin embargo, unos días después </w:t>
      </w:r>
      <w:r w:rsidR="00C80EC7">
        <w:rPr>
          <w:rFonts w:ascii="Noto Sans" w:hAnsi="Noto Sans" w:cs="Noto Sans"/>
          <w:sz w:val="20"/>
          <w:szCs w:val="20"/>
        </w:rPr>
        <w:t xml:space="preserve">estos </w:t>
      </w:r>
      <w:r w:rsidRPr="004E38AB">
        <w:rPr>
          <w:rFonts w:ascii="Noto Sans" w:hAnsi="Noto Sans" w:cs="Noto Sans"/>
          <w:sz w:val="20"/>
          <w:szCs w:val="20"/>
        </w:rPr>
        <w:t>niveles disminuyen o no aumentan como deberían, lo que indica que el embarazo no se desarrolló correctamente.</w:t>
      </w:r>
    </w:p>
    <w:p w14:paraId="061A7FEA" w14:textId="77777777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1A9D56D" w14:textId="124FD2CC" w:rsidR="00134564" w:rsidRPr="004E38AB" w:rsidRDefault="000C7092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>A</w:t>
      </w:r>
      <w:r w:rsidR="00134564" w:rsidRPr="004E38AB">
        <w:rPr>
          <w:rFonts w:ascii="Noto Sans" w:hAnsi="Noto Sans" w:cs="Noto Sans"/>
          <w:sz w:val="20"/>
          <w:szCs w:val="20"/>
        </w:rPr>
        <w:t>gregó que es frecuente que la paciente sea referida a un test de embarazo positivo o dudoso, que al repetirse días después resulte negativo. Cuando no ocurre el sangrado transvaginal suelen detectarse en las ecografías de vigilancia donde no se observa la progresión y crecimiento normal del embarazo.</w:t>
      </w:r>
    </w:p>
    <w:p w14:paraId="2B6D90E3" w14:textId="77777777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656D820B" w14:textId="77777777" w:rsidR="004013D7" w:rsidRDefault="004013D7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3A4315C" w14:textId="77777777" w:rsidR="004013D7" w:rsidRDefault="004013D7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872AA05" w14:textId="77777777" w:rsidR="004013D7" w:rsidRDefault="004013D7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1D1215DF" w14:textId="77777777" w:rsidR="004013D7" w:rsidRDefault="004013D7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55C2996" w14:textId="01F131D9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E38AB">
        <w:rPr>
          <w:rFonts w:ascii="Noto Sans" w:hAnsi="Noto Sans" w:cs="Noto Sans"/>
          <w:sz w:val="20"/>
          <w:szCs w:val="20"/>
        </w:rPr>
        <w:t xml:space="preserve">Expuso que el protocolo que sigue el IMSS está dirigido a pacientes detectadas con datos de embarazo bioquímico con sangrado transvaginal, donde se realiza una revisión integral que incluye una ultrasonografía (USG) endovaginal </w:t>
      </w:r>
      <w:r w:rsidR="00C80EC7">
        <w:rPr>
          <w:rFonts w:ascii="Noto Sans" w:hAnsi="Noto Sans" w:cs="Noto Sans"/>
          <w:sz w:val="20"/>
          <w:szCs w:val="20"/>
        </w:rPr>
        <w:t>para</w:t>
      </w:r>
      <w:r w:rsidRPr="004E38AB">
        <w:rPr>
          <w:rFonts w:ascii="Noto Sans" w:hAnsi="Noto Sans" w:cs="Noto Sans"/>
          <w:sz w:val="20"/>
          <w:szCs w:val="20"/>
        </w:rPr>
        <w:t xml:space="preserve"> determinar si aún cuenta con saco gestacional o el embrión sin latido cardiaco. </w:t>
      </w:r>
    </w:p>
    <w:p w14:paraId="5BB42027" w14:textId="77777777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8426F02" w14:textId="2458CB30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E38AB">
        <w:rPr>
          <w:rFonts w:ascii="Noto Sans" w:hAnsi="Noto Sans" w:cs="Noto Sans"/>
          <w:sz w:val="20"/>
          <w:szCs w:val="20"/>
        </w:rPr>
        <w:t>La jefa del Departamento de Complicaciones de la Primera Mitad del Embarazo añadió que en caso de continuar con el embarazo se induce el aborto conforme a la Guía de Práctica Clínica (GPC) de Diagnóstico y Tratamiento del Aborto Espontáneo y Manejo Inicial de Aborto Recurrente y el Lineamiento Técnico para la atención de</w:t>
      </w:r>
      <w:r w:rsidR="00C80EC7">
        <w:rPr>
          <w:rFonts w:ascii="Noto Sans" w:hAnsi="Noto Sans" w:cs="Noto Sans"/>
          <w:sz w:val="20"/>
          <w:szCs w:val="20"/>
        </w:rPr>
        <w:t>l Aborto Seguro en México 2022.</w:t>
      </w:r>
    </w:p>
    <w:p w14:paraId="17A9565A" w14:textId="77777777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56627E21" w14:textId="5D94413E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E38AB">
        <w:rPr>
          <w:rFonts w:ascii="Noto Sans" w:hAnsi="Noto Sans" w:cs="Noto Sans"/>
          <w:sz w:val="20"/>
          <w:szCs w:val="20"/>
        </w:rPr>
        <w:t>Destacó que se brinda terapia analgésica y manejo integral con servicio de Psicología. Al ocurrir la expulsión del embarazo se verifica que no hay restos con una nueva revisión por ultrasonido y se egresa a la paciente, con cita subsecuente para revisión de resultados de Patología de los restos exp</w:t>
      </w:r>
      <w:r w:rsidR="00C80EC7">
        <w:rPr>
          <w:rFonts w:ascii="Noto Sans" w:hAnsi="Noto Sans" w:cs="Noto Sans"/>
          <w:sz w:val="20"/>
          <w:szCs w:val="20"/>
        </w:rPr>
        <w:t>ulsados.</w:t>
      </w:r>
    </w:p>
    <w:p w14:paraId="1B8DA41D" w14:textId="77777777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23DDA422" w14:textId="43E34C48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E38AB">
        <w:rPr>
          <w:rFonts w:ascii="Noto Sans" w:hAnsi="Noto Sans" w:cs="Noto Sans"/>
          <w:sz w:val="20"/>
          <w:szCs w:val="20"/>
        </w:rPr>
        <w:t xml:space="preserve">Indicó que en pacientes detectadas con datos de embarazo bioquímico sin sangrado transvaginal, se realiza una revisión que incluye USG endovaginal y posteriormente se induce el aborto conforme a los mecanismos antes mencionados. </w:t>
      </w:r>
    </w:p>
    <w:p w14:paraId="08EE7DA7" w14:textId="77777777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0572637" w14:textId="1B97CDCE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E38AB">
        <w:rPr>
          <w:rFonts w:ascii="Noto Sans" w:hAnsi="Noto Sans" w:cs="Noto Sans"/>
          <w:sz w:val="20"/>
          <w:szCs w:val="20"/>
        </w:rPr>
        <w:t>Arely Peñaloza reportó que, en los casos especiales de pacientes con patologías subyacentes, edades maternas de riesgo y con pérdidas gestacionales recurrentes, se inicia protocolo de control y manejo</w:t>
      </w:r>
      <w:r w:rsidR="000C7092">
        <w:rPr>
          <w:rFonts w:ascii="Noto Sans" w:hAnsi="Noto Sans" w:cs="Noto Sans"/>
          <w:sz w:val="20"/>
          <w:szCs w:val="20"/>
        </w:rPr>
        <w:t>,</w:t>
      </w:r>
      <w:r w:rsidRPr="004E38AB">
        <w:rPr>
          <w:rFonts w:ascii="Noto Sans" w:hAnsi="Noto Sans" w:cs="Noto Sans"/>
          <w:sz w:val="20"/>
          <w:szCs w:val="20"/>
        </w:rPr>
        <w:t xml:space="preserve"> el cual se realiza de manera conjunta con el servicio de Biología de la Reproducción de la UMAE. </w:t>
      </w:r>
    </w:p>
    <w:p w14:paraId="6A61EECF" w14:textId="77777777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A136B71" w14:textId="77777777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E38AB">
        <w:rPr>
          <w:rFonts w:ascii="Noto Sans" w:hAnsi="Noto Sans" w:cs="Noto Sans"/>
          <w:sz w:val="20"/>
          <w:szCs w:val="20"/>
        </w:rPr>
        <w:t>Recordó que durante la atención por parte del personal de salud se les explica a las pacientes y aclaran sus dudas, para ello se han establecido protocolos de estudio enfocados a los principales grupos de riesgo, algunos son: mujeres en edad de riesgo reproductivo o con pérdidas recurrentes, menores de edad y mayores de 35 años, derechohabientes con patologías subyacentes como hipertensión arterial sistémica (HAS), diabetes, endocrinopatías, reumatológicas, entre otras.</w:t>
      </w:r>
    </w:p>
    <w:p w14:paraId="660DABA2" w14:textId="77777777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57E6109" w14:textId="30F0FDB5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E38AB">
        <w:rPr>
          <w:rFonts w:ascii="Noto Sans" w:hAnsi="Noto Sans" w:cs="Noto Sans"/>
          <w:sz w:val="20"/>
          <w:szCs w:val="20"/>
        </w:rPr>
        <w:t xml:space="preserve">La especialista dijo que se cuenta con atención de enfermeras capacitadas en </w:t>
      </w:r>
      <w:r w:rsidR="000C7092">
        <w:rPr>
          <w:rFonts w:ascii="Noto Sans" w:hAnsi="Noto Sans" w:cs="Noto Sans"/>
          <w:sz w:val="20"/>
          <w:szCs w:val="20"/>
        </w:rPr>
        <w:t>T</w:t>
      </w:r>
      <w:r w:rsidRPr="004E38AB">
        <w:rPr>
          <w:rFonts w:ascii="Noto Sans" w:hAnsi="Noto Sans" w:cs="Noto Sans"/>
          <w:sz w:val="20"/>
          <w:szCs w:val="20"/>
        </w:rPr>
        <w:t>anatología para apoyarles durante su estancia hospitalaria y realizar terapia de duelo perinatal en aquellas mujeres que la acepten.</w:t>
      </w:r>
    </w:p>
    <w:p w14:paraId="4C5D616C" w14:textId="77777777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356F4D31" w14:textId="77777777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E38AB">
        <w:rPr>
          <w:rFonts w:ascii="Noto Sans" w:hAnsi="Noto Sans" w:cs="Noto Sans"/>
          <w:sz w:val="20"/>
          <w:szCs w:val="20"/>
        </w:rPr>
        <w:t>Recomendó a las mujeres dentro de los grupos de riesgo a fin de prevenir un embarazo bioquímico mantener un control de los factores de riesgo modificables, como son mantener hábitos saludables y activación física; favorecer la planificación familiar para evitar periodos intergenésicos cortos, realizar acciones de detección y vigilancia guiadas por los factores de riesgo detectados, y llevar un control y detección temprana de patologías subyacentes.</w:t>
      </w:r>
    </w:p>
    <w:p w14:paraId="09F12C4B" w14:textId="77777777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43CE469" w14:textId="77777777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E38AB">
        <w:rPr>
          <w:rFonts w:ascii="Noto Sans" w:hAnsi="Noto Sans" w:cs="Noto Sans"/>
          <w:sz w:val="20"/>
          <w:szCs w:val="20"/>
        </w:rPr>
        <w:t xml:space="preserve">La doctora Peñaloza Nolasco informó que en 2023 se atendieron a 486 pacientes detectadas con datos de embarazo bioquímico, un estimado de 40.5 casos por mes. En tanto, en el primer semestre de 2024 se brindó el servicio a 217 derechohabientes con interrupción precoz del desarrollo del embrión, un promedio de 36.16 casos por mes. </w:t>
      </w:r>
    </w:p>
    <w:p w14:paraId="2F13353C" w14:textId="77777777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0EEE1544" w14:textId="1DE471C1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E38AB">
        <w:rPr>
          <w:rFonts w:ascii="Noto Sans" w:hAnsi="Noto Sans" w:cs="Noto Sans"/>
          <w:sz w:val="20"/>
          <w:szCs w:val="20"/>
        </w:rPr>
        <w:t xml:space="preserve">La </w:t>
      </w:r>
      <w:r w:rsidR="000C7092">
        <w:rPr>
          <w:rFonts w:ascii="Noto Sans" w:hAnsi="Noto Sans" w:cs="Noto Sans"/>
          <w:sz w:val="20"/>
          <w:szCs w:val="20"/>
        </w:rPr>
        <w:t xml:space="preserve">doctora </w:t>
      </w:r>
      <w:r w:rsidR="000C7092" w:rsidRPr="004E38AB">
        <w:rPr>
          <w:rFonts w:ascii="Noto Sans" w:hAnsi="Noto Sans" w:cs="Noto Sans"/>
          <w:sz w:val="20"/>
          <w:szCs w:val="20"/>
        </w:rPr>
        <w:t xml:space="preserve">Arely Peñaloza </w:t>
      </w:r>
      <w:r w:rsidRPr="004E38AB">
        <w:rPr>
          <w:rFonts w:ascii="Noto Sans" w:hAnsi="Noto Sans" w:cs="Noto Sans"/>
          <w:sz w:val="20"/>
          <w:szCs w:val="20"/>
        </w:rPr>
        <w:t>señaló que el aborto espontáneo se presenta en 50 a 70 por ciento de los embarazos, la mayoría de estas pérdidas son irreconocibles debido a que suceden antes de que se pres</w:t>
      </w:r>
      <w:r w:rsidR="000C7092">
        <w:rPr>
          <w:rFonts w:ascii="Noto Sans" w:hAnsi="Noto Sans" w:cs="Noto Sans"/>
          <w:sz w:val="20"/>
          <w:szCs w:val="20"/>
        </w:rPr>
        <w:t>ente la siguiente menstruación.</w:t>
      </w:r>
    </w:p>
    <w:p w14:paraId="5EB29CB4" w14:textId="77777777" w:rsidR="00134564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</w:p>
    <w:p w14:paraId="464A050E" w14:textId="05329EC7" w:rsidR="001A7BE6" w:rsidRPr="004E38AB" w:rsidRDefault="00134564" w:rsidP="00134564">
      <w:pPr>
        <w:ind w:right="49"/>
        <w:jc w:val="both"/>
        <w:rPr>
          <w:rFonts w:ascii="Noto Sans" w:hAnsi="Noto Sans" w:cs="Noto Sans"/>
          <w:sz w:val="20"/>
          <w:szCs w:val="20"/>
        </w:rPr>
      </w:pPr>
      <w:r w:rsidRPr="004E38AB">
        <w:rPr>
          <w:rFonts w:ascii="Noto Sans" w:hAnsi="Noto Sans" w:cs="Noto Sans"/>
          <w:sz w:val="20"/>
          <w:szCs w:val="20"/>
        </w:rPr>
        <w:t>Comentó que del 15 al 20 por ciento de los embarazos que se diagnostican clínicamente se pierden en el primer trimestre o al inicio del segundo, sin ninguna repercusión materna. La mayoría de ellos no se diagnostican ya que se confunden con un retraso de regla.</w:t>
      </w:r>
    </w:p>
    <w:p w14:paraId="61966AFA" w14:textId="77777777" w:rsidR="00134564" w:rsidRPr="00165A5E" w:rsidRDefault="00134564" w:rsidP="00134564">
      <w:pPr>
        <w:ind w:right="49"/>
        <w:jc w:val="both"/>
        <w:rPr>
          <w:rFonts w:ascii="Noto Sans" w:hAnsi="Noto Sans" w:cs="Noto Sans"/>
          <w:sz w:val="22"/>
          <w:szCs w:val="22"/>
        </w:rPr>
      </w:pPr>
    </w:p>
    <w:p w14:paraId="6AA025E0" w14:textId="6EF42713" w:rsidR="00117614" w:rsidRDefault="001A7BE6" w:rsidP="00603333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  <w:r w:rsidRPr="00165A5E">
        <w:rPr>
          <w:rFonts w:ascii="Noto Sans" w:hAnsi="Noto Sans" w:cs="Noto Sans"/>
          <w:b/>
          <w:bCs/>
          <w:sz w:val="22"/>
          <w:szCs w:val="22"/>
        </w:rPr>
        <w:t xml:space="preserve">---o0o--- </w:t>
      </w:r>
    </w:p>
    <w:p w14:paraId="51E0EFC4" w14:textId="77777777" w:rsidR="004013D7" w:rsidRDefault="004013D7" w:rsidP="004013D7">
      <w:pPr>
        <w:ind w:right="49"/>
        <w:rPr>
          <w:rFonts w:ascii="Noto Sans" w:hAnsi="Noto Sans" w:cs="Noto Sans"/>
          <w:b/>
          <w:bCs/>
          <w:sz w:val="22"/>
          <w:szCs w:val="22"/>
        </w:rPr>
      </w:pPr>
    </w:p>
    <w:p w14:paraId="67C780BA" w14:textId="7B32BCD5" w:rsidR="004013D7" w:rsidRDefault="004013D7" w:rsidP="004013D7">
      <w:pPr>
        <w:ind w:right="49"/>
        <w:rPr>
          <w:rFonts w:ascii="Noto Sans" w:hAnsi="Noto Sans" w:cs="Noto Sans"/>
          <w:b/>
          <w:bCs/>
          <w:sz w:val="22"/>
          <w:szCs w:val="22"/>
        </w:rPr>
      </w:pPr>
      <w:r>
        <w:rPr>
          <w:rFonts w:ascii="Noto Sans" w:hAnsi="Noto Sans" w:cs="Noto Sans"/>
          <w:b/>
          <w:bCs/>
          <w:sz w:val="22"/>
          <w:szCs w:val="22"/>
        </w:rPr>
        <w:t>LINK DE FOTOS</w:t>
      </w:r>
    </w:p>
    <w:p w14:paraId="69DB0CF5" w14:textId="238A953E" w:rsidR="004013D7" w:rsidRDefault="004013D7" w:rsidP="004013D7">
      <w:pPr>
        <w:ind w:right="49"/>
        <w:rPr>
          <w:rFonts w:ascii="Noto Sans" w:hAnsi="Noto Sans" w:cs="Noto Sans"/>
          <w:b/>
          <w:bCs/>
          <w:sz w:val="22"/>
          <w:szCs w:val="22"/>
        </w:rPr>
      </w:pPr>
      <w:hyperlink r:id="rId8" w:history="1">
        <w:r w:rsidRPr="004C0EC4">
          <w:rPr>
            <w:rStyle w:val="Hipervnculo"/>
            <w:rFonts w:ascii="Noto Sans" w:hAnsi="Noto Sans" w:cs="Noto Sans"/>
            <w:b/>
            <w:bCs/>
            <w:sz w:val="22"/>
            <w:szCs w:val="22"/>
          </w:rPr>
          <w:t>https://imssmx.sharepoint.com/:f:/s/comunicacionsocial/EgocN6HAzNhAgqRMpKWu4V4BZgOUwce54PhBNjT0zjSJjA?e=pMqbqF</w:t>
        </w:r>
      </w:hyperlink>
    </w:p>
    <w:p w14:paraId="793F785A" w14:textId="77777777" w:rsidR="004013D7" w:rsidRDefault="004013D7" w:rsidP="00603333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162C6128" w14:textId="77777777" w:rsidR="004013D7" w:rsidRDefault="004013D7" w:rsidP="00603333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434B8ACE" w14:textId="77777777" w:rsidR="004013D7" w:rsidRDefault="004013D7" w:rsidP="00603333">
      <w:pPr>
        <w:ind w:right="49"/>
        <w:jc w:val="center"/>
        <w:rPr>
          <w:rFonts w:ascii="Noto Sans" w:hAnsi="Noto Sans" w:cs="Noto Sans"/>
          <w:b/>
          <w:bCs/>
          <w:sz w:val="22"/>
          <w:szCs w:val="22"/>
        </w:rPr>
      </w:pPr>
    </w:p>
    <w:p w14:paraId="187F7767" w14:textId="1C29D57F" w:rsidR="00AD2A90" w:rsidRPr="004E0D31" w:rsidRDefault="00AD2A90" w:rsidP="00AD2A90">
      <w:pPr>
        <w:ind w:right="49"/>
        <w:rPr>
          <w:rFonts w:ascii="Noto Sans" w:hAnsi="Noto Sans" w:cs="Noto Sans"/>
          <w:sz w:val="20"/>
          <w:szCs w:val="20"/>
        </w:rPr>
      </w:pPr>
      <w:r>
        <w:rPr>
          <w:rFonts w:ascii="Noto Sans" w:hAnsi="Noto Sans" w:cs="Noto Sans"/>
          <w:sz w:val="20"/>
          <w:szCs w:val="20"/>
        </w:rPr>
        <w:t xml:space="preserve"> </w:t>
      </w:r>
    </w:p>
    <w:sectPr w:rsidR="00AD2A90" w:rsidRPr="004E0D31" w:rsidSect="004E38AB">
      <w:headerReference w:type="default" r:id="rId9"/>
      <w:pgSz w:w="12240" w:h="15840"/>
      <w:pgMar w:top="2342" w:right="1134" w:bottom="1843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31B6974" w14:textId="77777777" w:rsidR="00812948" w:rsidRDefault="00812948" w:rsidP="00A73D65">
      <w:r>
        <w:separator/>
      </w:r>
    </w:p>
  </w:endnote>
  <w:endnote w:type="continuationSeparator" w:id="0">
    <w:p w14:paraId="7F5A5B27" w14:textId="77777777" w:rsidR="00812948" w:rsidRDefault="00812948" w:rsidP="00A73D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Geomanist">
    <w:altName w:val="Calibri"/>
    <w:panose1 w:val="00000000000000000000"/>
    <w:charset w:val="00"/>
    <w:family w:val="modern"/>
    <w:notTrueType/>
    <w:pitch w:val="variable"/>
    <w:sig w:usb0="A000002F" w:usb1="1000004A" w:usb2="00000000" w:usb3="00000000" w:csb0="00000193" w:csb1="00000000"/>
  </w:font>
  <w:font w:name="Noto Sans">
    <w:altName w:val="Nirmala UI"/>
    <w:charset w:val="00"/>
    <w:family w:val="swiss"/>
    <w:pitch w:val="variable"/>
    <w:sig w:usb0="E00082FF" w:usb1="400078FF" w:usb2="00000021" w:usb3="00000000" w:csb0="0000019F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1891037" w14:textId="77777777" w:rsidR="00812948" w:rsidRDefault="00812948" w:rsidP="00A73D65">
      <w:r>
        <w:separator/>
      </w:r>
    </w:p>
  </w:footnote>
  <w:footnote w:type="continuationSeparator" w:id="0">
    <w:p w14:paraId="4BB5520B" w14:textId="77777777" w:rsidR="00812948" w:rsidRDefault="00812948" w:rsidP="00A73D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F1E181" w14:textId="77E7986F" w:rsidR="00A73D65" w:rsidRDefault="00A7141D">
    <w:pPr>
      <w:pStyle w:val="Encabezado"/>
    </w:pPr>
    <w:r>
      <w:rPr>
        <w:noProof/>
        <w:lang w:val="es-MX" w:eastAsia="es-MX"/>
      </w:rPr>
      <w:drawing>
        <wp:anchor distT="0" distB="0" distL="114300" distR="114300" simplePos="0" relativeHeight="251658240" behindDoc="1" locked="0" layoutInCell="1" allowOverlap="1" wp14:anchorId="0ACFE279" wp14:editId="2BAD49B3">
          <wp:simplePos x="0" y="0"/>
          <wp:positionH relativeFrom="column">
            <wp:posOffset>-735676</wp:posOffset>
          </wp:positionH>
          <wp:positionV relativeFrom="paragraph">
            <wp:posOffset>-437515</wp:posOffset>
          </wp:positionV>
          <wp:extent cx="7766612" cy="10050548"/>
          <wp:effectExtent l="0" t="0" r="6350" b="8255"/>
          <wp:wrapNone/>
          <wp:docPr id="439223470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02303280" name="Imagen 1302303280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6612" cy="1005054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6F621A"/>
    <w:multiLevelType w:val="hybridMultilevel"/>
    <w:tmpl w:val="A47257CA"/>
    <w:lvl w:ilvl="0" w:tplc="080A0001">
      <w:start w:val="1"/>
      <w:numFmt w:val="bullet"/>
      <w:lvlText w:val=""/>
      <w:lvlJc w:val="left"/>
      <w:pPr>
        <w:ind w:left="709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num w:numId="1" w16cid:durableId="96674348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D416E"/>
    <w:rsid w:val="00007681"/>
    <w:rsid w:val="000A09C1"/>
    <w:rsid w:val="000A408C"/>
    <w:rsid w:val="000C7092"/>
    <w:rsid w:val="000D799D"/>
    <w:rsid w:val="000E5D1C"/>
    <w:rsid w:val="00117614"/>
    <w:rsid w:val="00132439"/>
    <w:rsid w:val="00134564"/>
    <w:rsid w:val="00156A3E"/>
    <w:rsid w:val="00161740"/>
    <w:rsid w:val="0016179D"/>
    <w:rsid w:val="00180A38"/>
    <w:rsid w:val="00184325"/>
    <w:rsid w:val="001A7BE6"/>
    <w:rsid w:val="00224C3B"/>
    <w:rsid w:val="00256B1D"/>
    <w:rsid w:val="0029542D"/>
    <w:rsid w:val="002A33A4"/>
    <w:rsid w:val="002C1960"/>
    <w:rsid w:val="002E013E"/>
    <w:rsid w:val="002E2142"/>
    <w:rsid w:val="0030476A"/>
    <w:rsid w:val="00330DC8"/>
    <w:rsid w:val="00334CB4"/>
    <w:rsid w:val="0034181C"/>
    <w:rsid w:val="00363222"/>
    <w:rsid w:val="00370465"/>
    <w:rsid w:val="003B1888"/>
    <w:rsid w:val="003C3525"/>
    <w:rsid w:val="003D416E"/>
    <w:rsid w:val="003E1335"/>
    <w:rsid w:val="004013D7"/>
    <w:rsid w:val="00477F45"/>
    <w:rsid w:val="004A2714"/>
    <w:rsid w:val="004A4C4E"/>
    <w:rsid w:val="004D146C"/>
    <w:rsid w:val="004E0D31"/>
    <w:rsid w:val="004E38AB"/>
    <w:rsid w:val="00550E91"/>
    <w:rsid w:val="00556390"/>
    <w:rsid w:val="00557D90"/>
    <w:rsid w:val="00562569"/>
    <w:rsid w:val="005933D8"/>
    <w:rsid w:val="005B52A4"/>
    <w:rsid w:val="005C1A7C"/>
    <w:rsid w:val="005C7CAD"/>
    <w:rsid w:val="00603333"/>
    <w:rsid w:val="0061019C"/>
    <w:rsid w:val="00621C91"/>
    <w:rsid w:val="00626EE3"/>
    <w:rsid w:val="00631824"/>
    <w:rsid w:val="006322C1"/>
    <w:rsid w:val="00656944"/>
    <w:rsid w:val="006A3D09"/>
    <w:rsid w:val="006C0425"/>
    <w:rsid w:val="006C3B4E"/>
    <w:rsid w:val="007009FE"/>
    <w:rsid w:val="007150E6"/>
    <w:rsid w:val="007242AE"/>
    <w:rsid w:val="007421E3"/>
    <w:rsid w:val="007504BE"/>
    <w:rsid w:val="0078195E"/>
    <w:rsid w:val="007B74AD"/>
    <w:rsid w:val="007D77D1"/>
    <w:rsid w:val="007E5888"/>
    <w:rsid w:val="007F1DB3"/>
    <w:rsid w:val="007F5E00"/>
    <w:rsid w:val="00802168"/>
    <w:rsid w:val="00812948"/>
    <w:rsid w:val="00831EE7"/>
    <w:rsid w:val="00834146"/>
    <w:rsid w:val="00840B75"/>
    <w:rsid w:val="008F2F0E"/>
    <w:rsid w:val="0090412A"/>
    <w:rsid w:val="009066A7"/>
    <w:rsid w:val="009068C0"/>
    <w:rsid w:val="00907F1C"/>
    <w:rsid w:val="00932C27"/>
    <w:rsid w:val="00937C98"/>
    <w:rsid w:val="00942415"/>
    <w:rsid w:val="00942628"/>
    <w:rsid w:val="00986441"/>
    <w:rsid w:val="009A1CE9"/>
    <w:rsid w:val="009C12D6"/>
    <w:rsid w:val="009F2BA1"/>
    <w:rsid w:val="00A07674"/>
    <w:rsid w:val="00A26985"/>
    <w:rsid w:val="00A301D7"/>
    <w:rsid w:val="00A31D88"/>
    <w:rsid w:val="00A46EC9"/>
    <w:rsid w:val="00A7141D"/>
    <w:rsid w:val="00A73D65"/>
    <w:rsid w:val="00AD2A90"/>
    <w:rsid w:val="00B3608B"/>
    <w:rsid w:val="00B72D65"/>
    <w:rsid w:val="00B87C85"/>
    <w:rsid w:val="00B96DC0"/>
    <w:rsid w:val="00BB21A6"/>
    <w:rsid w:val="00BB2DFF"/>
    <w:rsid w:val="00BC43BD"/>
    <w:rsid w:val="00BD117E"/>
    <w:rsid w:val="00BF29F6"/>
    <w:rsid w:val="00C02E98"/>
    <w:rsid w:val="00C13382"/>
    <w:rsid w:val="00C23B9E"/>
    <w:rsid w:val="00C279A3"/>
    <w:rsid w:val="00C30849"/>
    <w:rsid w:val="00C465FE"/>
    <w:rsid w:val="00C67047"/>
    <w:rsid w:val="00C80EC7"/>
    <w:rsid w:val="00C90CED"/>
    <w:rsid w:val="00CB4E79"/>
    <w:rsid w:val="00CB7D4F"/>
    <w:rsid w:val="00CD310D"/>
    <w:rsid w:val="00CE3E99"/>
    <w:rsid w:val="00D05291"/>
    <w:rsid w:val="00D1354D"/>
    <w:rsid w:val="00D17C3C"/>
    <w:rsid w:val="00D57514"/>
    <w:rsid w:val="00D84E05"/>
    <w:rsid w:val="00D95C69"/>
    <w:rsid w:val="00DA037A"/>
    <w:rsid w:val="00DA1B19"/>
    <w:rsid w:val="00DB29C6"/>
    <w:rsid w:val="00DB53A4"/>
    <w:rsid w:val="00E155A4"/>
    <w:rsid w:val="00E21D7E"/>
    <w:rsid w:val="00E71C54"/>
    <w:rsid w:val="00E73D0E"/>
    <w:rsid w:val="00E93867"/>
    <w:rsid w:val="00EB407F"/>
    <w:rsid w:val="00EC3B8C"/>
    <w:rsid w:val="00ED2E59"/>
    <w:rsid w:val="00EE053F"/>
    <w:rsid w:val="00EE6B41"/>
    <w:rsid w:val="00F24915"/>
    <w:rsid w:val="00F401F9"/>
    <w:rsid w:val="00F44628"/>
    <w:rsid w:val="00F745B2"/>
    <w:rsid w:val="00F746FD"/>
    <w:rsid w:val="00F945F2"/>
    <w:rsid w:val="00FA1218"/>
    <w:rsid w:val="00FD754F"/>
    <w:rsid w:val="00FD75E1"/>
    <w:rsid w:val="00FE2ADE"/>
    <w:rsid w:val="00FF0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8193"/>
    <o:shapelayout v:ext="edit">
      <o:idmap v:ext="edit" data="1"/>
    </o:shapelayout>
  </w:shapeDefaults>
  <w:decimalSymbol w:val="."/>
  <w:listSeparator w:val=","/>
  <w14:docId w14:val="58B1EA0C"/>
  <w15:docId w15:val="{9145094A-EA70-48CD-881A-BA1A81ECE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  <w:lang w:val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73D65"/>
    <w:rPr>
      <w:rFonts w:eastAsiaTheme="minorEastAsia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A73D65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73D65"/>
    <w:rPr>
      <w:rFonts w:eastAsiaTheme="minorEastAsia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DA1B19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DA1B19"/>
    <w:rPr>
      <w:rFonts w:ascii="Times New Roman" w:eastAsiaTheme="minorEastAsia" w:hAnsi="Times New Roman" w:cs="Times New Roman"/>
      <w:sz w:val="18"/>
      <w:szCs w:val="18"/>
      <w:lang w:val="es-ES"/>
    </w:rPr>
  </w:style>
  <w:style w:type="paragraph" w:styleId="Prrafodelista">
    <w:name w:val="List Paragraph"/>
    <w:basedOn w:val="Normal"/>
    <w:uiPriority w:val="34"/>
    <w:qFormat/>
    <w:rsid w:val="001A7BE6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AD2A90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AD2A90"/>
    <w:rPr>
      <w:color w:val="605E5C"/>
      <w:shd w:val="clear" w:color="auto" w:fill="E1DFDD"/>
    </w:rPr>
  </w:style>
  <w:style w:type="character" w:styleId="Mencinsinresolver">
    <w:name w:val="Unresolved Mention"/>
    <w:basedOn w:val="Fuentedeprrafopredeter"/>
    <w:uiPriority w:val="99"/>
    <w:semiHidden/>
    <w:unhideWhenUsed/>
    <w:rsid w:val="004013D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mssmx.sharepoint.com/:f:/s/comunicacionsocial/EgocN6HAzNhAgqRMpKWu4V4BZgOUwce54PhBNjT0zjSJjA?e=pMqbqF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DB0642DA-AD0F-4EF4-8547-02F03AE7D9E8}">
  <ds:schemaRefs>
    <ds:schemaRef ds:uri="http://schemas.openxmlformats.org/officeDocument/2006/bibliography"/>
    <ds:schemaRef ds:uri="http://www.w3.org/2000/xmln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902</Words>
  <Characters>4966</Characters>
  <Application>Microsoft Office Word</Application>
  <DocSecurity>0</DocSecurity>
  <Lines>41</Lines>
  <Paragraphs>11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5857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Pablo Andrés Silva Páez</dc:creator>
  <cp:lastModifiedBy>Luz Maria Rico Jardon</cp:lastModifiedBy>
  <cp:revision>2</cp:revision>
  <cp:lastPrinted>2024-10-03T14:20:00Z</cp:lastPrinted>
  <dcterms:created xsi:type="dcterms:W3CDTF">2025-01-10T16:02:00Z</dcterms:created>
  <dcterms:modified xsi:type="dcterms:W3CDTF">2025-01-10T16:02:00Z</dcterms:modified>
</cp:coreProperties>
</file>