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1A4F6F4B" wp14:editId="1D95094E">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001C7973" w:rsidR="00DA1B19" w:rsidRDefault="007B7EF6"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5B477F">
                              <w:rPr>
                                <w:rFonts w:ascii="Noto Sans" w:eastAsia="Montserrat Medium" w:hAnsi="Noto Sans" w:cs="Noto Sans"/>
                                <w:sz w:val="20"/>
                                <w:szCs w:val="20"/>
                              </w:rPr>
                              <w:t>lunes 28 de septiembre</w:t>
                            </w:r>
                            <w:r w:rsidR="004A2714">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093DB380"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733CB5">
                              <w:rPr>
                                <w:rFonts w:ascii="Noto Sans" w:hAnsi="Noto Sans" w:cs="Noto Sans"/>
                                <w:sz w:val="20"/>
                                <w:szCs w:val="20"/>
                              </w:rPr>
                              <w:t>517</w:t>
                            </w:r>
                            <w:r>
                              <w:rPr>
                                <w:rFonts w:ascii="Noto Sans" w:hAnsi="Noto Sans" w:cs="Noto Sans"/>
                                <w:sz w:val="20"/>
                                <w:szCs w:val="20"/>
                              </w:rPr>
                              <w:t>/202</w:t>
                            </w:r>
                            <w:r w:rsidR="00A10CC4">
                              <w:rPr>
                                <w:rFonts w:ascii="Noto Sans" w:hAnsi="Noto Sans" w:cs="Noto Sans"/>
                                <w:sz w:val="20"/>
                                <w:szCs w:val="20"/>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001C7973" w:rsidR="00DA1B19" w:rsidRDefault="007B7EF6"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5B477F">
                        <w:rPr>
                          <w:rFonts w:ascii="Noto Sans" w:eastAsia="Montserrat Medium" w:hAnsi="Noto Sans" w:cs="Noto Sans"/>
                          <w:sz w:val="20"/>
                          <w:szCs w:val="20"/>
                        </w:rPr>
                        <w:t>lunes 28 de septiembre</w:t>
                      </w:r>
                      <w:r w:rsidR="004A2714">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64CA408B" w14:textId="093DB380" w:rsidR="00B639F3" w:rsidRPr="004E0D31" w:rsidRDefault="00B639F3" w:rsidP="004A2714">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733CB5">
                        <w:rPr>
                          <w:rFonts w:ascii="Noto Sans" w:hAnsi="Noto Sans" w:cs="Noto Sans"/>
                          <w:sz w:val="20"/>
                          <w:szCs w:val="20"/>
                        </w:rPr>
                        <w:t>517</w:t>
                      </w:r>
                      <w:r>
                        <w:rPr>
                          <w:rFonts w:ascii="Noto Sans" w:hAnsi="Noto Sans" w:cs="Noto Sans"/>
                          <w:sz w:val="20"/>
                          <w:szCs w:val="20"/>
                        </w:rPr>
                        <w:t>/202</w:t>
                      </w:r>
                      <w:r w:rsidR="00A10CC4">
                        <w:rPr>
                          <w:rFonts w:ascii="Noto Sans" w:hAnsi="Noto Sans" w:cs="Noto Sans"/>
                          <w:sz w:val="20"/>
                          <w:szCs w:val="20"/>
                        </w:rPr>
                        <w:t>6</w:t>
                      </w: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34EC1968" w14:textId="77777777" w:rsidR="00D370A9" w:rsidRDefault="00D370A9" w:rsidP="003A034A">
      <w:pPr>
        <w:jc w:val="center"/>
        <w:rPr>
          <w:rFonts w:ascii="Noto Sans" w:hAnsi="Noto Sans" w:cs="Noto Sans"/>
          <w:b/>
          <w:bCs/>
          <w:sz w:val="32"/>
          <w:szCs w:val="32"/>
          <w:lang w:val="es-MX"/>
        </w:rPr>
      </w:pPr>
    </w:p>
    <w:p w14:paraId="71668901" w14:textId="4367F84C" w:rsidR="00E024A9" w:rsidRDefault="005B477F" w:rsidP="005B477F">
      <w:pPr>
        <w:jc w:val="center"/>
        <w:rPr>
          <w:rFonts w:ascii="Noto Sans" w:hAnsi="Noto Sans" w:cs="Noto Sans"/>
          <w:b/>
          <w:bCs/>
          <w:spacing w:val="-2"/>
          <w:sz w:val="30"/>
          <w:szCs w:val="30"/>
        </w:rPr>
      </w:pPr>
      <w:bookmarkStart w:id="0" w:name="_Hlk241480055"/>
      <w:r w:rsidRPr="005B477F">
        <w:rPr>
          <w:rFonts w:ascii="Noto Sans" w:hAnsi="Noto Sans" w:cs="Noto Sans"/>
          <w:b/>
          <w:bCs/>
          <w:spacing w:val="-2"/>
          <w:sz w:val="30"/>
          <w:szCs w:val="30"/>
        </w:rPr>
        <w:t>IMSS fortalece capacidad de respuesta ante emergencias químicas mediante simulacro en el HGZ No. 30</w:t>
      </w:r>
    </w:p>
    <w:bookmarkEnd w:id="0"/>
    <w:p w14:paraId="7C7C26EA" w14:textId="77777777" w:rsidR="005B477F" w:rsidRDefault="005B477F" w:rsidP="005B477F">
      <w:pPr>
        <w:jc w:val="center"/>
        <w:rPr>
          <w:rFonts w:ascii="Noto Sans" w:hAnsi="Noto Sans" w:cs="Noto Sans"/>
          <w:b/>
          <w:bCs/>
          <w:sz w:val="20"/>
          <w:szCs w:val="20"/>
        </w:rPr>
      </w:pPr>
    </w:p>
    <w:p w14:paraId="13A08C84" w14:textId="700A4E30" w:rsidR="005B477F" w:rsidRPr="00B639C0" w:rsidRDefault="005B477F" w:rsidP="005B477F">
      <w:pPr>
        <w:pStyle w:val="Prrafodelista"/>
        <w:numPr>
          <w:ilvl w:val="0"/>
          <w:numId w:val="4"/>
        </w:numPr>
        <w:jc w:val="both"/>
        <w:rPr>
          <w:rFonts w:ascii="Noto Sans" w:hAnsi="Noto Sans" w:cs="Noto Sans"/>
          <w:b/>
          <w:bCs/>
          <w:sz w:val="20"/>
          <w:szCs w:val="20"/>
        </w:rPr>
      </w:pPr>
      <w:r w:rsidRPr="00B639C0">
        <w:rPr>
          <w:rFonts w:ascii="Noto Sans" w:hAnsi="Noto Sans" w:cs="Noto Sans"/>
          <w:b/>
          <w:bCs/>
          <w:sz w:val="20"/>
          <w:szCs w:val="20"/>
        </w:rPr>
        <w:t>El ejercicio permitió evaluar los procesos de detección, notificación, coordinación y respuesta</w:t>
      </w:r>
      <w:r w:rsidR="00B639C0" w:rsidRPr="00B639C0">
        <w:rPr>
          <w:rFonts w:ascii="Noto Sans" w:hAnsi="Noto Sans" w:cs="Noto Sans"/>
          <w:b/>
          <w:bCs/>
          <w:sz w:val="20"/>
          <w:szCs w:val="20"/>
        </w:rPr>
        <w:t xml:space="preserve">, así como </w:t>
      </w:r>
      <w:r w:rsidRPr="00B639C0">
        <w:rPr>
          <w:rFonts w:ascii="Noto Sans" w:hAnsi="Noto Sans" w:cs="Noto Sans"/>
          <w:b/>
          <w:bCs/>
          <w:sz w:val="20"/>
          <w:szCs w:val="20"/>
        </w:rPr>
        <w:t>la articulación con unidades de apoyo de la Red Integrada de Servicios de Salud.</w:t>
      </w:r>
    </w:p>
    <w:p w14:paraId="30953A98" w14:textId="0869E755" w:rsidR="005B477F" w:rsidRPr="00B639C0" w:rsidRDefault="005B477F" w:rsidP="005B477F">
      <w:pPr>
        <w:pStyle w:val="Prrafodelista"/>
        <w:numPr>
          <w:ilvl w:val="0"/>
          <w:numId w:val="4"/>
        </w:numPr>
        <w:jc w:val="both"/>
        <w:rPr>
          <w:rFonts w:ascii="Noto Sans" w:hAnsi="Noto Sans" w:cs="Noto Sans"/>
          <w:b/>
          <w:bCs/>
          <w:sz w:val="20"/>
          <w:szCs w:val="20"/>
        </w:rPr>
      </w:pPr>
      <w:r w:rsidRPr="00B639C0">
        <w:rPr>
          <w:rFonts w:ascii="Noto Sans" w:hAnsi="Noto Sans" w:cs="Noto Sans"/>
          <w:b/>
          <w:bCs/>
          <w:sz w:val="20"/>
          <w:szCs w:val="20"/>
        </w:rPr>
        <w:t>El simulacro forma parte de los preparativos del HGZ No. 30 para la evaluación interinstitucional del Programa Hospital Seguro, que se realizará el próximo 29 de septiembre.</w:t>
      </w:r>
    </w:p>
    <w:p w14:paraId="67F5A951" w14:textId="77777777" w:rsidR="005B477F" w:rsidRPr="005B477F" w:rsidRDefault="005B477F" w:rsidP="005B477F">
      <w:pPr>
        <w:jc w:val="both"/>
        <w:rPr>
          <w:rFonts w:ascii="Noto Sans" w:hAnsi="Noto Sans" w:cs="Noto Sans"/>
          <w:sz w:val="20"/>
          <w:szCs w:val="20"/>
        </w:rPr>
      </w:pPr>
    </w:p>
    <w:p w14:paraId="566D68EF" w14:textId="77777777" w:rsidR="005B477F" w:rsidRPr="00B639C0" w:rsidRDefault="005B477F" w:rsidP="005B477F">
      <w:pPr>
        <w:jc w:val="both"/>
        <w:rPr>
          <w:rFonts w:ascii="Noto Sans" w:hAnsi="Noto Sans" w:cs="Noto Sans"/>
          <w:sz w:val="22"/>
          <w:szCs w:val="22"/>
        </w:rPr>
      </w:pPr>
      <w:r w:rsidRPr="00B639C0">
        <w:rPr>
          <w:rFonts w:ascii="Noto Sans" w:hAnsi="Noto Sans" w:cs="Noto Sans"/>
          <w:sz w:val="22"/>
          <w:szCs w:val="22"/>
        </w:rPr>
        <w:t>El Hospital General de Zona (HGZ) No. 30 del Instituto Mexicano del Seguro Social (IMSS) realizó un ejercicio de simulacro de escritorio ante una emergencia química con múltiples víctimas, con la participación de su equipo directivo y la coordinación de la Dirección de Prestaciones Médicas (DPM), a través de la Coordinación de Proyectos Especiales.</w:t>
      </w:r>
    </w:p>
    <w:p w14:paraId="3E5F70DE" w14:textId="77777777" w:rsidR="005B477F" w:rsidRPr="00B639C0" w:rsidRDefault="005B477F" w:rsidP="005B477F">
      <w:pPr>
        <w:jc w:val="both"/>
        <w:rPr>
          <w:rFonts w:ascii="Noto Sans" w:hAnsi="Noto Sans" w:cs="Noto Sans"/>
          <w:sz w:val="22"/>
          <w:szCs w:val="22"/>
        </w:rPr>
      </w:pPr>
    </w:p>
    <w:p w14:paraId="6E79B888" w14:textId="77777777" w:rsidR="005B477F" w:rsidRPr="00B639C0" w:rsidRDefault="005B477F" w:rsidP="005B477F">
      <w:pPr>
        <w:jc w:val="both"/>
        <w:rPr>
          <w:rFonts w:ascii="Noto Sans" w:hAnsi="Noto Sans" w:cs="Noto Sans"/>
          <w:sz w:val="22"/>
          <w:szCs w:val="22"/>
        </w:rPr>
      </w:pPr>
      <w:r w:rsidRPr="00B639C0">
        <w:rPr>
          <w:rFonts w:ascii="Noto Sans" w:hAnsi="Noto Sans" w:cs="Noto Sans"/>
          <w:sz w:val="22"/>
          <w:szCs w:val="22"/>
        </w:rPr>
        <w:t>El ejercicio tuvo como objetivo evaluar la capacidad de detección, notificación, activación, coordinación y respuesta del hospital ante una emergencia química, así como la articulación con otras unidades médicas del IMSS. El escenario planteó un accidente vial en el que un camión cisterna que transportaba amoniaco anhidro sufría una colisión múltiple, con daño en la válvula de descarga y liberación continua del gas.</w:t>
      </w:r>
    </w:p>
    <w:p w14:paraId="4EA928F9" w14:textId="77777777" w:rsidR="005B477F" w:rsidRPr="00B639C0" w:rsidRDefault="005B477F" w:rsidP="005B477F">
      <w:pPr>
        <w:jc w:val="both"/>
        <w:rPr>
          <w:rFonts w:ascii="Noto Sans" w:hAnsi="Noto Sans" w:cs="Noto Sans"/>
          <w:sz w:val="22"/>
          <w:szCs w:val="22"/>
        </w:rPr>
      </w:pPr>
    </w:p>
    <w:p w14:paraId="4A95C421" w14:textId="77777777" w:rsidR="005B477F" w:rsidRPr="00B639C0" w:rsidRDefault="005B477F" w:rsidP="005B477F">
      <w:pPr>
        <w:jc w:val="both"/>
        <w:rPr>
          <w:rFonts w:ascii="Noto Sans" w:hAnsi="Noto Sans" w:cs="Noto Sans"/>
          <w:sz w:val="22"/>
          <w:szCs w:val="22"/>
        </w:rPr>
      </w:pPr>
      <w:r w:rsidRPr="00B639C0">
        <w:rPr>
          <w:rFonts w:ascii="Noto Sans" w:hAnsi="Noto Sans" w:cs="Noto Sans"/>
          <w:sz w:val="22"/>
          <w:szCs w:val="22"/>
        </w:rPr>
        <w:t>De acuerdo con la hipótesis, alrededor de 40 personas resultaban potencialmente afectadas. El ejercicio inició con la llegada por sus propios medios de un paciente al Servicio de Urgencias del HGZ No. 30, quien refirió dificultad respiratoria y ardor ocular tras exponerse a una nube de olor penetrante, además de informar sobre otras personas lesionadas en el sitio del incidente.</w:t>
      </w:r>
    </w:p>
    <w:p w14:paraId="6E920080" w14:textId="77777777" w:rsidR="005B477F" w:rsidRPr="00B639C0" w:rsidRDefault="005B477F" w:rsidP="005B477F">
      <w:pPr>
        <w:jc w:val="both"/>
        <w:rPr>
          <w:rFonts w:ascii="Noto Sans" w:hAnsi="Noto Sans" w:cs="Noto Sans"/>
          <w:sz w:val="22"/>
          <w:szCs w:val="22"/>
        </w:rPr>
      </w:pPr>
    </w:p>
    <w:p w14:paraId="722A1885" w14:textId="5B0881B2" w:rsidR="005B477F" w:rsidRPr="00B639C0" w:rsidRDefault="005B477F" w:rsidP="005B477F">
      <w:pPr>
        <w:jc w:val="both"/>
        <w:rPr>
          <w:rFonts w:ascii="Noto Sans" w:hAnsi="Noto Sans" w:cs="Noto Sans"/>
          <w:sz w:val="22"/>
          <w:szCs w:val="22"/>
        </w:rPr>
      </w:pPr>
      <w:r w:rsidRPr="00B639C0">
        <w:rPr>
          <w:rFonts w:ascii="Noto Sans" w:hAnsi="Noto Sans" w:cs="Noto Sans"/>
          <w:sz w:val="22"/>
          <w:szCs w:val="22"/>
        </w:rPr>
        <w:t xml:space="preserve">A partir de este escenario, el equipo directivo desarrolló un ejercicio de toma de decisiones minuto a minuto, que incluyó la identificación del riesgo químico, la notificación a la </w:t>
      </w:r>
      <w:r w:rsidR="00A8520C">
        <w:rPr>
          <w:rFonts w:ascii="Noto Sans" w:hAnsi="Noto Sans" w:cs="Noto Sans"/>
          <w:sz w:val="22"/>
          <w:szCs w:val="22"/>
        </w:rPr>
        <w:t>d</w:t>
      </w:r>
      <w:r w:rsidRPr="00B639C0">
        <w:rPr>
          <w:rFonts w:ascii="Noto Sans" w:hAnsi="Noto Sans" w:cs="Noto Sans"/>
          <w:sz w:val="22"/>
          <w:szCs w:val="22"/>
        </w:rPr>
        <w:t>irección del hospital, la activación del Comité Hospitalario para Emergencias y Desastres y del Centro de Operaciones en Emergencias (COE), así como la comunicación con el Centro Virtual de Operaciones en Emergencias y Desastres (CVOED).</w:t>
      </w:r>
    </w:p>
    <w:p w14:paraId="53FBA76B" w14:textId="77777777" w:rsidR="005B477F" w:rsidRPr="00B639C0" w:rsidRDefault="005B477F" w:rsidP="005B477F">
      <w:pPr>
        <w:jc w:val="both"/>
        <w:rPr>
          <w:rFonts w:ascii="Noto Sans" w:hAnsi="Noto Sans" w:cs="Noto Sans"/>
          <w:sz w:val="22"/>
          <w:szCs w:val="22"/>
        </w:rPr>
      </w:pPr>
    </w:p>
    <w:p w14:paraId="78528C82" w14:textId="77777777" w:rsidR="005B477F" w:rsidRPr="00B639C0" w:rsidRDefault="005B477F" w:rsidP="005B477F">
      <w:pPr>
        <w:jc w:val="both"/>
        <w:rPr>
          <w:rFonts w:ascii="Noto Sans" w:hAnsi="Noto Sans" w:cs="Noto Sans"/>
          <w:sz w:val="22"/>
          <w:szCs w:val="22"/>
        </w:rPr>
      </w:pPr>
      <w:r w:rsidRPr="00B639C0">
        <w:rPr>
          <w:rFonts w:ascii="Noto Sans" w:hAnsi="Noto Sans" w:cs="Noto Sans"/>
          <w:sz w:val="22"/>
          <w:szCs w:val="22"/>
        </w:rPr>
        <w:t xml:space="preserve">Durante el ejercicio, mediante una maqueta del hospital, se analizaron procesos clave para la atención de una emergencia de este tipo, entre ellos la activación de la zona de descontaminación, el uso de equipo de protección personal, la organización del </w:t>
      </w:r>
      <w:proofErr w:type="spellStart"/>
      <w:r w:rsidRPr="00B639C0">
        <w:rPr>
          <w:rFonts w:ascii="Noto Sans" w:hAnsi="Noto Sans" w:cs="Noto Sans"/>
          <w:sz w:val="22"/>
          <w:szCs w:val="22"/>
        </w:rPr>
        <w:t>triage</w:t>
      </w:r>
      <w:proofErr w:type="spellEnd"/>
      <w:r w:rsidRPr="00B639C0">
        <w:rPr>
          <w:rFonts w:ascii="Noto Sans" w:hAnsi="Noto Sans" w:cs="Noto Sans"/>
          <w:sz w:val="22"/>
          <w:szCs w:val="22"/>
        </w:rPr>
        <w:t>, la evacuación del Servicio de Urgencias, la coordinación de ambulancias y la reconversión hospitalaria para ampliar la capacidad de atención.</w:t>
      </w:r>
    </w:p>
    <w:p w14:paraId="11E552DD" w14:textId="77777777" w:rsidR="005B477F" w:rsidRPr="00B639C0" w:rsidRDefault="005B477F" w:rsidP="005B477F">
      <w:pPr>
        <w:jc w:val="both"/>
        <w:rPr>
          <w:rFonts w:ascii="Noto Sans" w:hAnsi="Noto Sans" w:cs="Noto Sans"/>
          <w:sz w:val="22"/>
          <w:szCs w:val="22"/>
        </w:rPr>
      </w:pPr>
    </w:p>
    <w:p w14:paraId="25A890AC" w14:textId="77777777" w:rsidR="005B477F" w:rsidRPr="00B639C0" w:rsidRDefault="005B477F" w:rsidP="005B477F">
      <w:pPr>
        <w:jc w:val="both"/>
        <w:rPr>
          <w:rFonts w:ascii="Noto Sans" w:hAnsi="Noto Sans" w:cs="Noto Sans"/>
          <w:sz w:val="22"/>
          <w:szCs w:val="22"/>
        </w:rPr>
      </w:pPr>
      <w:r w:rsidRPr="00B639C0">
        <w:rPr>
          <w:rFonts w:ascii="Noto Sans" w:hAnsi="Noto Sans" w:cs="Noto Sans"/>
          <w:sz w:val="22"/>
          <w:szCs w:val="22"/>
        </w:rPr>
        <w:lastRenderedPageBreak/>
        <w:t>También se evaluó la coordinación entre el CVOED, el HGZ No. 30 y las unidades de apoyo de la Red Integrada de Servicios de Salud (RISS), así como la activación de los Planes Hospitalarios de Respuesta a Emergencias y Desastres, el reporte de capacidades hospitalarias y los mecanismos para la referencia, contrarreferencia y distribución de pacientes.</w:t>
      </w:r>
    </w:p>
    <w:p w14:paraId="4EC2ECA7" w14:textId="77777777" w:rsidR="005B477F" w:rsidRPr="00B639C0" w:rsidRDefault="005B477F" w:rsidP="005B477F">
      <w:pPr>
        <w:jc w:val="both"/>
        <w:rPr>
          <w:rFonts w:ascii="Noto Sans" w:hAnsi="Noto Sans" w:cs="Noto Sans"/>
          <w:sz w:val="22"/>
          <w:szCs w:val="22"/>
        </w:rPr>
      </w:pPr>
    </w:p>
    <w:p w14:paraId="26FD982A" w14:textId="77777777" w:rsidR="005B477F" w:rsidRPr="00B639C0" w:rsidRDefault="005B477F" w:rsidP="005B477F">
      <w:pPr>
        <w:jc w:val="both"/>
        <w:rPr>
          <w:rFonts w:ascii="Noto Sans" w:hAnsi="Noto Sans" w:cs="Noto Sans"/>
          <w:sz w:val="22"/>
          <w:szCs w:val="22"/>
        </w:rPr>
      </w:pPr>
      <w:r w:rsidRPr="00B639C0">
        <w:rPr>
          <w:rFonts w:ascii="Noto Sans" w:hAnsi="Noto Sans" w:cs="Noto Sans"/>
          <w:sz w:val="22"/>
          <w:szCs w:val="22"/>
        </w:rPr>
        <w:t>El ejercicio tuvo una duración de 60 minutos y se desarrolló exclusivamente mediante simulación de gabinete y toma de decisiones, por lo que no implicó el despliegue físico de recursos ni la movilización real de personal o pacientes.</w:t>
      </w:r>
    </w:p>
    <w:p w14:paraId="69C34066" w14:textId="77777777" w:rsidR="005B477F" w:rsidRPr="00B639C0" w:rsidRDefault="005B477F" w:rsidP="005B477F">
      <w:pPr>
        <w:jc w:val="both"/>
        <w:rPr>
          <w:rFonts w:ascii="Noto Sans" w:hAnsi="Noto Sans" w:cs="Noto Sans"/>
          <w:sz w:val="22"/>
          <w:szCs w:val="22"/>
        </w:rPr>
      </w:pPr>
    </w:p>
    <w:p w14:paraId="028A6B4A" w14:textId="77777777" w:rsidR="005B477F" w:rsidRPr="00B639C0" w:rsidRDefault="005B477F" w:rsidP="005B477F">
      <w:pPr>
        <w:jc w:val="both"/>
        <w:rPr>
          <w:rFonts w:ascii="Noto Sans" w:hAnsi="Noto Sans" w:cs="Noto Sans"/>
          <w:sz w:val="22"/>
          <w:szCs w:val="22"/>
        </w:rPr>
      </w:pPr>
      <w:r w:rsidRPr="00B639C0">
        <w:rPr>
          <w:rFonts w:ascii="Noto Sans" w:hAnsi="Noto Sans" w:cs="Noto Sans"/>
          <w:sz w:val="22"/>
          <w:szCs w:val="22"/>
        </w:rPr>
        <w:t>La evaluación permitió identificar áreas de oportunidad que serán incorporadas a los documentos y planes institucionales de preparación y respuesta ante emergencias y desastres del hospital.</w:t>
      </w:r>
    </w:p>
    <w:p w14:paraId="1342AE62" w14:textId="77777777" w:rsidR="005B477F" w:rsidRPr="00B639C0" w:rsidRDefault="005B477F" w:rsidP="005B477F">
      <w:pPr>
        <w:jc w:val="both"/>
        <w:rPr>
          <w:rFonts w:ascii="Noto Sans" w:hAnsi="Noto Sans" w:cs="Noto Sans"/>
          <w:sz w:val="22"/>
          <w:szCs w:val="22"/>
        </w:rPr>
      </w:pPr>
    </w:p>
    <w:p w14:paraId="6AA025E0" w14:textId="0028976F" w:rsidR="00117614" w:rsidRPr="00B639C0" w:rsidRDefault="005B477F" w:rsidP="005B477F">
      <w:pPr>
        <w:jc w:val="both"/>
        <w:rPr>
          <w:rFonts w:ascii="Noto Sans" w:hAnsi="Noto Sans" w:cs="Noto Sans"/>
          <w:sz w:val="22"/>
          <w:szCs w:val="22"/>
        </w:rPr>
      </w:pPr>
      <w:r w:rsidRPr="00B639C0">
        <w:rPr>
          <w:rFonts w:ascii="Noto Sans" w:hAnsi="Noto Sans" w:cs="Noto Sans"/>
          <w:sz w:val="22"/>
          <w:szCs w:val="22"/>
        </w:rPr>
        <w:t>Este ejercicio forma parte de los preparativos del HGZ No. 30 en el marco de la evaluación interinstitucional del Programa Hospital Seguro, programada para el próximo martes 29 de septiembre.</w:t>
      </w:r>
    </w:p>
    <w:p w14:paraId="7EEE2122" w14:textId="77777777" w:rsidR="005B477F" w:rsidRDefault="005B477F" w:rsidP="005B477F">
      <w:pPr>
        <w:jc w:val="both"/>
        <w:rPr>
          <w:rFonts w:ascii="Noto Sans" w:hAnsi="Noto Sans" w:cs="Noto Sans"/>
          <w:sz w:val="20"/>
          <w:szCs w:val="20"/>
        </w:rPr>
      </w:pPr>
    </w:p>
    <w:p w14:paraId="35DEE2D1" w14:textId="2329EBA2" w:rsidR="005B477F" w:rsidRDefault="005B477F" w:rsidP="005B477F">
      <w:pPr>
        <w:jc w:val="center"/>
        <w:rPr>
          <w:rFonts w:ascii="Noto Sans" w:hAnsi="Noto Sans" w:cs="Noto Sans"/>
          <w:b/>
          <w:bCs/>
        </w:rPr>
      </w:pPr>
      <w:r w:rsidRPr="00B639C0">
        <w:rPr>
          <w:rFonts w:ascii="Noto Sans" w:hAnsi="Noto Sans" w:cs="Noto Sans"/>
          <w:b/>
          <w:bCs/>
        </w:rPr>
        <w:t>---o0o---</w:t>
      </w:r>
    </w:p>
    <w:p w14:paraId="3177F360" w14:textId="77777777" w:rsidR="00733CB5" w:rsidRDefault="00733CB5" w:rsidP="005B477F">
      <w:pPr>
        <w:jc w:val="center"/>
        <w:rPr>
          <w:rFonts w:ascii="Noto Sans" w:hAnsi="Noto Sans" w:cs="Noto Sans"/>
          <w:b/>
          <w:bCs/>
        </w:rPr>
      </w:pPr>
    </w:p>
    <w:p w14:paraId="498113FC" w14:textId="77777777" w:rsidR="00733CB5" w:rsidRPr="00733CB5" w:rsidRDefault="00733CB5" w:rsidP="00733CB5">
      <w:pPr>
        <w:jc w:val="both"/>
        <w:rPr>
          <w:rFonts w:ascii="Noto Sans" w:hAnsi="Noto Sans" w:cs="Noto Sans"/>
          <w:b/>
          <w:bCs/>
          <w:lang w:val="en-US"/>
        </w:rPr>
      </w:pPr>
      <w:r w:rsidRPr="00733CB5">
        <w:rPr>
          <w:rFonts w:ascii="Noto Sans" w:hAnsi="Noto Sans" w:cs="Noto Sans"/>
          <w:b/>
          <w:bCs/>
          <w:lang w:val="en-US"/>
        </w:rPr>
        <w:t>LINK FOTOS</w:t>
      </w:r>
    </w:p>
    <w:p w14:paraId="0C1FC172" w14:textId="538A94AB" w:rsidR="00733CB5" w:rsidRPr="00733CB5" w:rsidRDefault="00733CB5" w:rsidP="00733CB5">
      <w:pPr>
        <w:jc w:val="both"/>
        <w:rPr>
          <w:rFonts w:ascii="Noto Sans" w:hAnsi="Noto Sans" w:cs="Noto Sans"/>
          <w:b/>
          <w:bCs/>
          <w:lang w:val="en-US"/>
        </w:rPr>
      </w:pPr>
      <w:hyperlink r:id="rId8" w:history="1">
        <w:r w:rsidRPr="00C25EAB">
          <w:rPr>
            <w:rStyle w:val="Hipervnculo"/>
            <w:rFonts w:ascii="Noto Sans" w:hAnsi="Noto Sans" w:cs="Noto Sans"/>
            <w:b/>
            <w:bCs/>
            <w:lang w:val="en-US"/>
          </w:rPr>
          <w:t>https://drive.google.com/drive/folders/1JXf4f5iMhZsRY5djL-ifPT0Fk-Cy5zIV?usp=sharing</w:t>
        </w:r>
      </w:hyperlink>
      <w:r>
        <w:rPr>
          <w:rFonts w:ascii="Noto Sans" w:hAnsi="Noto Sans" w:cs="Noto Sans"/>
          <w:b/>
          <w:bCs/>
          <w:lang w:val="en-US"/>
        </w:rPr>
        <w:t xml:space="preserve"> </w:t>
      </w:r>
    </w:p>
    <w:sectPr w:rsidR="00733CB5" w:rsidRPr="00733CB5" w:rsidSect="009867AE">
      <w:headerReference w:type="default" r:id="rId9"/>
      <w:pgSz w:w="12240" w:h="15840"/>
      <w:pgMar w:top="2127" w:right="1077" w:bottom="156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5D33C" w14:textId="77777777" w:rsidR="00ED65C3" w:rsidRDefault="00ED65C3" w:rsidP="00A73D65">
      <w:r>
        <w:separator/>
      </w:r>
    </w:p>
  </w:endnote>
  <w:endnote w:type="continuationSeparator" w:id="0">
    <w:p w14:paraId="669F7A14" w14:textId="77777777" w:rsidR="00ED65C3" w:rsidRDefault="00ED65C3"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A0F0C" w14:textId="77777777" w:rsidR="00ED65C3" w:rsidRDefault="00ED65C3" w:rsidP="00A73D65">
      <w:r>
        <w:separator/>
      </w:r>
    </w:p>
  </w:footnote>
  <w:footnote w:type="continuationSeparator" w:id="0">
    <w:p w14:paraId="340D9FF3" w14:textId="77777777" w:rsidR="00ED65C3" w:rsidRDefault="00ED65C3"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2DD34219">
          <wp:simplePos x="0" y="0"/>
          <wp:positionH relativeFrom="column">
            <wp:posOffset>-765810</wp:posOffset>
          </wp:positionH>
          <wp:positionV relativeFrom="paragraph">
            <wp:posOffset>-441325</wp:posOffset>
          </wp:positionV>
          <wp:extent cx="7800230" cy="10094052"/>
          <wp:effectExtent l="0" t="0" r="0" b="2540"/>
          <wp:wrapNone/>
          <wp:docPr id="106289087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0230" cy="10094052"/>
                  </a:xfrm>
                  <a:prstGeom prst="rect">
                    <a:avLst/>
                  </a:prstGeom>
                </pic:spPr>
              </pic:pic>
            </a:graphicData>
          </a:graphic>
          <wp14:sizeRelH relativeFrom="page">
            <wp14:pctWidth>0</wp14:pctWidth>
          </wp14:sizeRelH>
          <wp14:sizeRelV relativeFrom="page">
            <wp14:pctHeight>0</wp14:pctHeight>
          </wp14:sizeRelV>
        </wp:anchor>
      </w:drawing>
    </w:r>
  </w:p>
  <w:p w14:paraId="16970276" w14:textId="77777777" w:rsidR="006C3785" w:rsidRDefault="006C37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DBB08A74"/>
    <w:lvl w:ilvl="0" w:tplc="080A0001">
      <w:start w:val="1"/>
      <w:numFmt w:val="bullet"/>
      <w:lvlText w:val=""/>
      <w:lvlJc w:val="left"/>
      <w:pPr>
        <w:ind w:left="709" w:hanging="360"/>
      </w:pPr>
      <w:rPr>
        <w:rFonts w:ascii="Symbol" w:hAnsi="Symbol" w:hint="default"/>
      </w:rPr>
    </w:lvl>
    <w:lvl w:ilvl="1" w:tplc="080A0003" w:tentative="1">
      <w:start w:val="1"/>
      <w:numFmt w:val="bullet"/>
      <w:lvlText w:val="o"/>
      <w:lvlJc w:val="left"/>
      <w:pPr>
        <w:ind w:left="1429" w:hanging="360"/>
      </w:pPr>
      <w:rPr>
        <w:rFonts w:ascii="Courier New" w:hAnsi="Courier New" w:cs="Courier New" w:hint="default"/>
      </w:rPr>
    </w:lvl>
    <w:lvl w:ilvl="2" w:tplc="080A0005" w:tentative="1">
      <w:start w:val="1"/>
      <w:numFmt w:val="bullet"/>
      <w:lvlText w:val=""/>
      <w:lvlJc w:val="left"/>
      <w:pPr>
        <w:ind w:left="2149" w:hanging="360"/>
      </w:pPr>
      <w:rPr>
        <w:rFonts w:ascii="Wingdings" w:hAnsi="Wingdings" w:hint="default"/>
      </w:rPr>
    </w:lvl>
    <w:lvl w:ilvl="3" w:tplc="080A0001" w:tentative="1">
      <w:start w:val="1"/>
      <w:numFmt w:val="bullet"/>
      <w:lvlText w:val=""/>
      <w:lvlJc w:val="left"/>
      <w:pPr>
        <w:ind w:left="2869" w:hanging="360"/>
      </w:pPr>
      <w:rPr>
        <w:rFonts w:ascii="Symbol" w:hAnsi="Symbol" w:hint="default"/>
      </w:rPr>
    </w:lvl>
    <w:lvl w:ilvl="4" w:tplc="080A0003" w:tentative="1">
      <w:start w:val="1"/>
      <w:numFmt w:val="bullet"/>
      <w:lvlText w:val="o"/>
      <w:lvlJc w:val="left"/>
      <w:pPr>
        <w:ind w:left="3589" w:hanging="360"/>
      </w:pPr>
      <w:rPr>
        <w:rFonts w:ascii="Courier New" w:hAnsi="Courier New" w:cs="Courier New" w:hint="default"/>
      </w:rPr>
    </w:lvl>
    <w:lvl w:ilvl="5" w:tplc="080A0005" w:tentative="1">
      <w:start w:val="1"/>
      <w:numFmt w:val="bullet"/>
      <w:lvlText w:val=""/>
      <w:lvlJc w:val="left"/>
      <w:pPr>
        <w:ind w:left="4309" w:hanging="360"/>
      </w:pPr>
      <w:rPr>
        <w:rFonts w:ascii="Wingdings" w:hAnsi="Wingdings" w:hint="default"/>
      </w:rPr>
    </w:lvl>
    <w:lvl w:ilvl="6" w:tplc="080A0001" w:tentative="1">
      <w:start w:val="1"/>
      <w:numFmt w:val="bullet"/>
      <w:lvlText w:val=""/>
      <w:lvlJc w:val="left"/>
      <w:pPr>
        <w:ind w:left="5029" w:hanging="360"/>
      </w:pPr>
      <w:rPr>
        <w:rFonts w:ascii="Symbol" w:hAnsi="Symbol" w:hint="default"/>
      </w:rPr>
    </w:lvl>
    <w:lvl w:ilvl="7" w:tplc="080A0003" w:tentative="1">
      <w:start w:val="1"/>
      <w:numFmt w:val="bullet"/>
      <w:lvlText w:val="o"/>
      <w:lvlJc w:val="left"/>
      <w:pPr>
        <w:ind w:left="5749" w:hanging="360"/>
      </w:pPr>
      <w:rPr>
        <w:rFonts w:ascii="Courier New" w:hAnsi="Courier New" w:cs="Courier New" w:hint="default"/>
      </w:rPr>
    </w:lvl>
    <w:lvl w:ilvl="8" w:tplc="080A0005" w:tentative="1">
      <w:start w:val="1"/>
      <w:numFmt w:val="bullet"/>
      <w:lvlText w:val=""/>
      <w:lvlJc w:val="left"/>
      <w:pPr>
        <w:ind w:left="6469" w:hanging="360"/>
      </w:pPr>
      <w:rPr>
        <w:rFonts w:ascii="Wingdings" w:hAnsi="Wingdings" w:hint="default"/>
      </w:rPr>
    </w:lvl>
  </w:abstractNum>
  <w:abstractNum w:abstractNumId="1" w15:restartNumberingAfterBreak="0">
    <w:nsid w:val="0D064A91"/>
    <w:multiLevelType w:val="hybridMultilevel"/>
    <w:tmpl w:val="CB5069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00101C9"/>
    <w:multiLevelType w:val="hybridMultilevel"/>
    <w:tmpl w:val="B19ADF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E0A6A60"/>
    <w:multiLevelType w:val="hybridMultilevel"/>
    <w:tmpl w:val="657EEB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28062912">
    <w:abstractNumId w:val="0"/>
  </w:num>
  <w:num w:numId="2" w16cid:durableId="1914196588">
    <w:abstractNumId w:val="2"/>
  </w:num>
  <w:num w:numId="3" w16cid:durableId="895773399">
    <w:abstractNumId w:val="3"/>
  </w:num>
  <w:num w:numId="4" w16cid:durableId="876698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2060"/>
    <w:rsid w:val="00002583"/>
    <w:rsid w:val="00007492"/>
    <w:rsid w:val="00007681"/>
    <w:rsid w:val="00011AED"/>
    <w:rsid w:val="000145D4"/>
    <w:rsid w:val="00026F45"/>
    <w:rsid w:val="00027FB4"/>
    <w:rsid w:val="000325E1"/>
    <w:rsid w:val="00035E42"/>
    <w:rsid w:val="00054FDD"/>
    <w:rsid w:val="00060DA5"/>
    <w:rsid w:val="000613F8"/>
    <w:rsid w:val="000641BE"/>
    <w:rsid w:val="000728CA"/>
    <w:rsid w:val="00081887"/>
    <w:rsid w:val="00086944"/>
    <w:rsid w:val="00086D02"/>
    <w:rsid w:val="00087620"/>
    <w:rsid w:val="00090F14"/>
    <w:rsid w:val="000A09C1"/>
    <w:rsid w:val="000A141E"/>
    <w:rsid w:val="000A408C"/>
    <w:rsid w:val="000B06F1"/>
    <w:rsid w:val="000C0D18"/>
    <w:rsid w:val="000D799D"/>
    <w:rsid w:val="000E5D1C"/>
    <w:rsid w:val="000F40BE"/>
    <w:rsid w:val="000F7423"/>
    <w:rsid w:val="0011340B"/>
    <w:rsid w:val="00117614"/>
    <w:rsid w:val="00131630"/>
    <w:rsid w:val="00132439"/>
    <w:rsid w:val="00146ADC"/>
    <w:rsid w:val="001526CC"/>
    <w:rsid w:val="00156A3E"/>
    <w:rsid w:val="00160F5E"/>
    <w:rsid w:val="00161740"/>
    <w:rsid w:val="0016179D"/>
    <w:rsid w:val="0017208B"/>
    <w:rsid w:val="00177830"/>
    <w:rsid w:val="00177FE5"/>
    <w:rsid w:val="00180A38"/>
    <w:rsid w:val="0018328B"/>
    <w:rsid w:val="00184325"/>
    <w:rsid w:val="00195FA7"/>
    <w:rsid w:val="00196E36"/>
    <w:rsid w:val="001B0AAF"/>
    <w:rsid w:val="001B20C7"/>
    <w:rsid w:val="001C4113"/>
    <w:rsid w:val="001C7AD4"/>
    <w:rsid w:val="001D4708"/>
    <w:rsid w:val="001E0287"/>
    <w:rsid w:val="001E1669"/>
    <w:rsid w:val="001E2FAE"/>
    <w:rsid w:val="001E677C"/>
    <w:rsid w:val="001F2BAD"/>
    <w:rsid w:val="001F2EC8"/>
    <w:rsid w:val="001F6AC7"/>
    <w:rsid w:val="00202D55"/>
    <w:rsid w:val="00203758"/>
    <w:rsid w:val="00212801"/>
    <w:rsid w:val="0021642B"/>
    <w:rsid w:val="002315EF"/>
    <w:rsid w:val="00232E91"/>
    <w:rsid w:val="00247ACA"/>
    <w:rsid w:val="00255C5B"/>
    <w:rsid w:val="00256B1D"/>
    <w:rsid w:val="00257490"/>
    <w:rsid w:val="00264AE7"/>
    <w:rsid w:val="002831BC"/>
    <w:rsid w:val="00285B55"/>
    <w:rsid w:val="00286E55"/>
    <w:rsid w:val="002930F1"/>
    <w:rsid w:val="0029542D"/>
    <w:rsid w:val="00296432"/>
    <w:rsid w:val="002A0A17"/>
    <w:rsid w:val="002B2EA5"/>
    <w:rsid w:val="002C200E"/>
    <w:rsid w:val="002C3CFA"/>
    <w:rsid w:val="002C4304"/>
    <w:rsid w:val="002D2370"/>
    <w:rsid w:val="002D76F0"/>
    <w:rsid w:val="002E1A67"/>
    <w:rsid w:val="002E2142"/>
    <w:rsid w:val="002E5AA7"/>
    <w:rsid w:val="002E69A4"/>
    <w:rsid w:val="002F606D"/>
    <w:rsid w:val="002F7564"/>
    <w:rsid w:val="0030218C"/>
    <w:rsid w:val="003041D3"/>
    <w:rsid w:val="0030476A"/>
    <w:rsid w:val="003064B1"/>
    <w:rsid w:val="00307D30"/>
    <w:rsid w:val="0031278E"/>
    <w:rsid w:val="00320BE0"/>
    <w:rsid w:val="003226CE"/>
    <w:rsid w:val="00325378"/>
    <w:rsid w:val="00330DC8"/>
    <w:rsid w:val="00331308"/>
    <w:rsid w:val="00334CB4"/>
    <w:rsid w:val="0034181C"/>
    <w:rsid w:val="00347F2F"/>
    <w:rsid w:val="003556A8"/>
    <w:rsid w:val="003629EB"/>
    <w:rsid w:val="00363222"/>
    <w:rsid w:val="00363BCC"/>
    <w:rsid w:val="00363E0A"/>
    <w:rsid w:val="00366773"/>
    <w:rsid w:val="00370465"/>
    <w:rsid w:val="003721A8"/>
    <w:rsid w:val="003805C7"/>
    <w:rsid w:val="00385603"/>
    <w:rsid w:val="00397F3F"/>
    <w:rsid w:val="003A034A"/>
    <w:rsid w:val="003A6CBC"/>
    <w:rsid w:val="003B622A"/>
    <w:rsid w:val="003D416E"/>
    <w:rsid w:val="003D5465"/>
    <w:rsid w:val="003D61B9"/>
    <w:rsid w:val="003E1335"/>
    <w:rsid w:val="003E4FE9"/>
    <w:rsid w:val="003F53DD"/>
    <w:rsid w:val="003F61E4"/>
    <w:rsid w:val="003F79EB"/>
    <w:rsid w:val="00407332"/>
    <w:rsid w:val="00410649"/>
    <w:rsid w:val="0042535B"/>
    <w:rsid w:val="00430218"/>
    <w:rsid w:val="004314B7"/>
    <w:rsid w:val="00446D8C"/>
    <w:rsid w:val="00452115"/>
    <w:rsid w:val="00452C8A"/>
    <w:rsid w:val="00454CD3"/>
    <w:rsid w:val="00464396"/>
    <w:rsid w:val="00472451"/>
    <w:rsid w:val="00472B26"/>
    <w:rsid w:val="00474672"/>
    <w:rsid w:val="00476170"/>
    <w:rsid w:val="00476BF3"/>
    <w:rsid w:val="00477F45"/>
    <w:rsid w:val="004826D3"/>
    <w:rsid w:val="00482C3C"/>
    <w:rsid w:val="00491648"/>
    <w:rsid w:val="004935D2"/>
    <w:rsid w:val="004A2714"/>
    <w:rsid w:val="004A324E"/>
    <w:rsid w:val="004A4C4E"/>
    <w:rsid w:val="004A6A20"/>
    <w:rsid w:val="004B2E3E"/>
    <w:rsid w:val="004C45CC"/>
    <w:rsid w:val="004C79E3"/>
    <w:rsid w:val="004C7A1D"/>
    <w:rsid w:val="004D142D"/>
    <w:rsid w:val="004D146C"/>
    <w:rsid w:val="004D162D"/>
    <w:rsid w:val="004E0D31"/>
    <w:rsid w:val="004F3840"/>
    <w:rsid w:val="0050079D"/>
    <w:rsid w:val="00500D2C"/>
    <w:rsid w:val="005018C9"/>
    <w:rsid w:val="00524111"/>
    <w:rsid w:val="005306E4"/>
    <w:rsid w:val="0053207E"/>
    <w:rsid w:val="00532D2A"/>
    <w:rsid w:val="00535F63"/>
    <w:rsid w:val="00540135"/>
    <w:rsid w:val="00541CDC"/>
    <w:rsid w:val="0054271C"/>
    <w:rsid w:val="00542E24"/>
    <w:rsid w:val="00543138"/>
    <w:rsid w:val="005441D5"/>
    <w:rsid w:val="00544C15"/>
    <w:rsid w:val="00545B38"/>
    <w:rsid w:val="00547D80"/>
    <w:rsid w:val="005507CE"/>
    <w:rsid w:val="00556B56"/>
    <w:rsid w:val="00557F6F"/>
    <w:rsid w:val="00562716"/>
    <w:rsid w:val="005634D3"/>
    <w:rsid w:val="00564FA1"/>
    <w:rsid w:val="00572688"/>
    <w:rsid w:val="00576DD4"/>
    <w:rsid w:val="00577969"/>
    <w:rsid w:val="005865A8"/>
    <w:rsid w:val="005907D9"/>
    <w:rsid w:val="005933D8"/>
    <w:rsid w:val="00597693"/>
    <w:rsid w:val="005A49F3"/>
    <w:rsid w:val="005B0DAB"/>
    <w:rsid w:val="005B477F"/>
    <w:rsid w:val="005B5C20"/>
    <w:rsid w:val="005C1A7C"/>
    <w:rsid w:val="005C6AE3"/>
    <w:rsid w:val="005C7CAD"/>
    <w:rsid w:val="005D0D21"/>
    <w:rsid w:val="005E4958"/>
    <w:rsid w:val="005F4C1E"/>
    <w:rsid w:val="005F7E6B"/>
    <w:rsid w:val="00603417"/>
    <w:rsid w:val="006169E3"/>
    <w:rsid w:val="006205EB"/>
    <w:rsid w:val="00620B3E"/>
    <w:rsid w:val="00624614"/>
    <w:rsid w:val="00626C67"/>
    <w:rsid w:val="00626EE3"/>
    <w:rsid w:val="00631824"/>
    <w:rsid w:val="006322C1"/>
    <w:rsid w:val="006337BF"/>
    <w:rsid w:val="00635C39"/>
    <w:rsid w:val="00637B59"/>
    <w:rsid w:val="006418DC"/>
    <w:rsid w:val="00644386"/>
    <w:rsid w:val="006461C3"/>
    <w:rsid w:val="006465EE"/>
    <w:rsid w:val="00651E4D"/>
    <w:rsid w:val="00652CD7"/>
    <w:rsid w:val="0066457F"/>
    <w:rsid w:val="006677CD"/>
    <w:rsid w:val="006703CA"/>
    <w:rsid w:val="006771BD"/>
    <w:rsid w:val="00681C4B"/>
    <w:rsid w:val="00682D56"/>
    <w:rsid w:val="00691EB2"/>
    <w:rsid w:val="00695A6E"/>
    <w:rsid w:val="006A1917"/>
    <w:rsid w:val="006A3CE7"/>
    <w:rsid w:val="006A3D09"/>
    <w:rsid w:val="006B05B7"/>
    <w:rsid w:val="006B07C0"/>
    <w:rsid w:val="006B0FA1"/>
    <w:rsid w:val="006B3BB1"/>
    <w:rsid w:val="006B7795"/>
    <w:rsid w:val="006C0425"/>
    <w:rsid w:val="006C0D9F"/>
    <w:rsid w:val="006C1ABA"/>
    <w:rsid w:val="006C3785"/>
    <w:rsid w:val="006C3B4E"/>
    <w:rsid w:val="006C5388"/>
    <w:rsid w:val="006C76F0"/>
    <w:rsid w:val="006E0E38"/>
    <w:rsid w:val="006F041A"/>
    <w:rsid w:val="006F3329"/>
    <w:rsid w:val="006F64B2"/>
    <w:rsid w:val="007005AC"/>
    <w:rsid w:val="007009FE"/>
    <w:rsid w:val="007009FF"/>
    <w:rsid w:val="0070468A"/>
    <w:rsid w:val="0072460F"/>
    <w:rsid w:val="0072567D"/>
    <w:rsid w:val="00725692"/>
    <w:rsid w:val="00733CB5"/>
    <w:rsid w:val="0073570F"/>
    <w:rsid w:val="00740CC0"/>
    <w:rsid w:val="00741D77"/>
    <w:rsid w:val="00741E9D"/>
    <w:rsid w:val="007421E3"/>
    <w:rsid w:val="00744CA8"/>
    <w:rsid w:val="007504BE"/>
    <w:rsid w:val="007633AD"/>
    <w:rsid w:val="00773127"/>
    <w:rsid w:val="007734A2"/>
    <w:rsid w:val="00776DA8"/>
    <w:rsid w:val="0078166B"/>
    <w:rsid w:val="0078195E"/>
    <w:rsid w:val="00783A95"/>
    <w:rsid w:val="00784B2B"/>
    <w:rsid w:val="0079017A"/>
    <w:rsid w:val="00791A18"/>
    <w:rsid w:val="007929CF"/>
    <w:rsid w:val="00794E15"/>
    <w:rsid w:val="007A4B79"/>
    <w:rsid w:val="007B363B"/>
    <w:rsid w:val="007B74AD"/>
    <w:rsid w:val="007B7EF6"/>
    <w:rsid w:val="007C0681"/>
    <w:rsid w:val="007C312B"/>
    <w:rsid w:val="007C638F"/>
    <w:rsid w:val="007D77D1"/>
    <w:rsid w:val="007E5888"/>
    <w:rsid w:val="007F1DB3"/>
    <w:rsid w:val="007F5E00"/>
    <w:rsid w:val="008027D7"/>
    <w:rsid w:val="00805E9B"/>
    <w:rsid w:val="00807BCF"/>
    <w:rsid w:val="00821060"/>
    <w:rsid w:val="00831EE7"/>
    <w:rsid w:val="00834146"/>
    <w:rsid w:val="00834DAE"/>
    <w:rsid w:val="00835A93"/>
    <w:rsid w:val="00840B75"/>
    <w:rsid w:val="008476F9"/>
    <w:rsid w:val="008503F5"/>
    <w:rsid w:val="0085135C"/>
    <w:rsid w:val="00861A7A"/>
    <w:rsid w:val="0086766A"/>
    <w:rsid w:val="0088312C"/>
    <w:rsid w:val="00883232"/>
    <w:rsid w:val="008A529F"/>
    <w:rsid w:val="008A613C"/>
    <w:rsid w:val="008B2C2E"/>
    <w:rsid w:val="008B403F"/>
    <w:rsid w:val="008C0195"/>
    <w:rsid w:val="008C18E0"/>
    <w:rsid w:val="008C4523"/>
    <w:rsid w:val="008C63D0"/>
    <w:rsid w:val="008D16B4"/>
    <w:rsid w:val="008D5327"/>
    <w:rsid w:val="008E2A5B"/>
    <w:rsid w:val="008E52ED"/>
    <w:rsid w:val="009000CE"/>
    <w:rsid w:val="0090412A"/>
    <w:rsid w:val="009066A7"/>
    <w:rsid w:val="009068C0"/>
    <w:rsid w:val="00907F1C"/>
    <w:rsid w:val="00914DC0"/>
    <w:rsid w:val="009208B8"/>
    <w:rsid w:val="00922F34"/>
    <w:rsid w:val="009234E9"/>
    <w:rsid w:val="00927AD5"/>
    <w:rsid w:val="00931E80"/>
    <w:rsid w:val="00932C27"/>
    <w:rsid w:val="00937C98"/>
    <w:rsid w:val="00937FFE"/>
    <w:rsid w:val="00940892"/>
    <w:rsid w:val="00942415"/>
    <w:rsid w:val="00942628"/>
    <w:rsid w:val="0095129A"/>
    <w:rsid w:val="00954E6E"/>
    <w:rsid w:val="009628C6"/>
    <w:rsid w:val="00962C7D"/>
    <w:rsid w:val="0098331D"/>
    <w:rsid w:val="00985C81"/>
    <w:rsid w:val="009867AE"/>
    <w:rsid w:val="009B540D"/>
    <w:rsid w:val="009B5F06"/>
    <w:rsid w:val="009B697D"/>
    <w:rsid w:val="009C0835"/>
    <w:rsid w:val="009C12D6"/>
    <w:rsid w:val="009C3DC0"/>
    <w:rsid w:val="009C4F66"/>
    <w:rsid w:val="009C6D8D"/>
    <w:rsid w:val="009D3CCA"/>
    <w:rsid w:val="009E08E5"/>
    <w:rsid w:val="009F2BA1"/>
    <w:rsid w:val="00A0266D"/>
    <w:rsid w:val="00A0544F"/>
    <w:rsid w:val="00A06937"/>
    <w:rsid w:val="00A07674"/>
    <w:rsid w:val="00A10CC4"/>
    <w:rsid w:val="00A141A6"/>
    <w:rsid w:val="00A20AD8"/>
    <w:rsid w:val="00A223A9"/>
    <w:rsid w:val="00A253DD"/>
    <w:rsid w:val="00A27DFC"/>
    <w:rsid w:val="00A301D7"/>
    <w:rsid w:val="00A353C0"/>
    <w:rsid w:val="00A36460"/>
    <w:rsid w:val="00A36BCE"/>
    <w:rsid w:val="00A4494B"/>
    <w:rsid w:val="00A526D6"/>
    <w:rsid w:val="00A61930"/>
    <w:rsid w:val="00A710D9"/>
    <w:rsid w:val="00A7141D"/>
    <w:rsid w:val="00A73D65"/>
    <w:rsid w:val="00A771AC"/>
    <w:rsid w:val="00A8520C"/>
    <w:rsid w:val="00A85D05"/>
    <w:rsid w:val="00A93513"/>
    <w:rsid w:val="00A936A9"/>
    <w:rsid w:val="00AA148A"/>
    <w:rsid w:val="00AA3376"/>
    <w:rsid w:val="00AB38AC"/>
    <w:rsid w:val="00AC2EE5"/>
    <w:rsid w:val="00AC49FD"/>
    <w:rsid w:val="00AE74FE"/>
    <w:rsid w:val="00AF7E5B"/>
    <w:rsid w:val="00B06DF6"/>
    <w:rsid w:val="00B11906"/>
    <w:rsid w:val="00B15AC4"/>
    <w:rsid w:val="00B3608B"/>
    <w:rsid w:val="00B50F0F"/>
    <w:rsid w:val="00B639C0"/>
    <w:rsid w:val="00B639F3"/>
    <w:rsid w:val="00B653F4"/>
    <w:rsid w:val="00B72D65"/>
    <w:rsid w:val="00B75E2A"/>
    <w:rsid w:val="00B80842"/>
    <w:rsid w:val="00B87C85"/>
    <w:rsid w:val="00B90BE8"/>
    <w:rsid w:val="00B94930"/>
    <w:rsid w:val="00B964B7"/>
    <w:rsid w:val="00BA015B"/>
    <w:rsid w:val="00BB21A6"/>
    <w:rsid w:val="00BB2DFF"/>
    <w:rsid w:val="00BB57CA"/>
    <w:rsid w:val="00BB74D0"/>
    <w:rsid w:val="00BC43BD"/>
    <w:rsid w:val="00BD1722"/>
    <w:rsid w:val="00BD3A14"/>
    <w:rsid w:val="00BE053E"/>
    <w:rsid w:val="00BE0B1C"/>
    <w:rsid w:val="00BE2DC5"/>
    <w:rsid w:val="00BE4AC6"/>
    <w:rsid w:val="00BF24BB"/>
    <w:rsid w:val="00BF29F6"/>
    <w:rsid w:val="00BF568D"/>
    <w:rsid w:val="00BF5A8B"/>
    <w:rsid w:val="00C00698"/>
    <w:rsid w:val="00C02E98"/>
    <w:rsid w:val="00C13382"/>
    <w:rsid w:val="00C15DF9"/>
    <w:rsid w:val="00C17181"/>
    <w:rsid w:val="00C17FE9"/>
    <w:rsid w:val="00C21A4F"/>
    <w:rsid w:val="00C23B9E"/>
    <w:rsid w:val="00C264C7"/>
    <w:rsid w:val="00C279A3"/>
    <w:rsid w:val="00C30849"/>
    <w:rsid w:val="00C465FE"/>
    <w:rsid w:val="00C4785E"/>
    <w:rsid w:val="00C50E0A"/>
    <w:rsid w:val="00C55302"/>
    <w:rsid w:val="00C62C8E"/>
    <w:rsid w:val="00C63D43"/>
    <w:rsid w:val="00C67047"/>
    <w:rsid w:val="00C82B0C"/>
    <w:rsid w:val="00C84C4E"/>
    <w:rsid w:val="00C90CED"/>
    <w:rsid w:val="00C931D3"/>
    <w:rsid w:val="00C96182"/>
    <w:rsid w:val="00C97C5B"/>
    <w:rsid w:val="00CA497D"/>
    <w:rsid w:val="00CB4E79"/>
    <w:rsid w:val="00CB7D4F"/>
    <w:rsid w:val="00CC3E91"/>
    <w:rsid w:val="00CC5221"/>
    <w:rsid w:val="00CC72AC"/>
    <w:rsid w:val="00CD310D"/>
    <w:rsid w:val="00CE0351"/>
    <w:rsid w:val="00CE3E99"/>
    <w:rsid w:val="00CE467D"/>
    <w:rsid w:val="00CE57DA"/>
    <w:rsid w:val="00CF1C9F"/>
    <w:rsid w:val="00CF325D"/>
    <w:rsid w:val="00CF36EF"/>
    <w:rsid w:val="00CF3B37"/>
    <w:rsid w:val="00CF5CED"/>
    <w:rsid w:val="00CF6899"/>
    <w:rsid w:val="00D13522"/>
    <w:rsid w:val="00D1354D"/>
    <w:rsid w:val="00D17C3C"/>
    <w:rsid w:val="00D3198D"/>
    <w:rsid w:val="00D370A9"/>
    <w:rsid w:val="00D54A12"/>
    <w:rsid w:val="00D62AA0"/>
    <w:rsid w:val="00D63063"/>
    <w:rsid w:val="00D64D4D"/>
    <w:rsid w:val="00D74FBD"/>
    <w:rsid w:val="00D84E05"/>
    <w:rsid w:val="00D91D55"/>
    <w:rsid w:val="00D949AF"/>
    <w:rsid w:val="00D952B1"/>
    <w:rsid w:val="00D95C69"/>
    <w:rsid w:val="00D972A6"/>
    <w:rsid w:val="00DA037A"/>
    <w:rsid w:val="00DA1B19"/>
    <w:rsid w:val="00DA56C6"/>
    <w:rsid w:val="00DA6807"/>
    <w:rsid w:val="00DA6BB5"/>
    <w:rsid w:val="00DB29C6"/>
    <w:rsid w:val="00DB2C73"/>
    <w:rsid w:val="00DB53A4"/>
    <w:rsid w:val="00DB64E9"/>
    <w:rsid w:val="00DC037D"/>
    <w:rsid w:val="00DC1EEB"/>
    <w:rsid w:val="00DF1FC2"/>
    <w:rsid w:val="00E024A9"/>
    <w:rsid w:val="00E0568A"/>
    <w:rsid w:val="00E1044C"/>
    <w:rsid w:val="00E11A4D"/>
    <w:rsid w:val="00E155A4"/>
    <w:rsid w:val="00E15C6E"/>
    <w:rsid w:val="00E24666"/>
    <w:rsid w:val="00E45DFD"/>
    <w:rsid w:val="00E5049E"/>
    <w:rsid w:val="00E50813"/>
    <w:rsid w:val="00E55056"/>
    <w:rsid w:val="00E67869"/>
    <w:rsid w:val="00E71C54"/>
    <w:rsid w:val="00E727CD"/>
    <w:rsid w:val="00E7494C"/>
    <w:rsid w:val="00E805EB"/>
    <w:rsid w:val="00E84541"/>
    <w:rsid w:val="00E8770E"/>
    <w:rsid w:val="00E93867"/>
    <w:rsid w:val="00E97572"/>
    <w:rsid w:val="00EA532B"/>
    <w:rsid w:val="00EB3EC3"/>
    <w:rsid w:val="00EB407F"/>
    <w:rsid w:val="00EC3FD6"/>
    <w:rsid w:val="00EC51FB"/>
    <w:rsid w:val="00ED0502"/>
    <w:rsid w:val="00ED2E59"/>
    <w:rsid w:val="00ED4A2B"/>
    <w:rsid w:val="00ED65C3"/>
    <w:rsid w:val="00ED754B"/>
    <w:rsid w:val="00EE053F"/>
    <w:rsid w:val="00EE1F15"/>
    <w:rsid w:val="00EE5B36"/>
    <w:rsid w:val="00EE6B41"/>
    <w:rsid w:val="00EF0AFB"/>
    <w:rsid w:val="00EF56B5"/>
    <w:rsid w:val="00EF636B"/>
    <w:rsid w:val="00EF6A09"/>
    <w:rsid w:val="00F007C0"/>
    <w:rsid w:val="00F16E5D"/>
    <w:rsid w:val="00F24915"/>
    <w:rsid w:val="00F26924"/>
    <w:rsid w:val="00F33C47"/>
    <w:rsid w:val="00F401F9"/>
    <w:rsid w:val="00F40D41"/>
    <w:rsid w:val="00F47647"/>
    <w:rsid w:val="00F52649"/>
    <w:rsid w:val="00F61C39"/>
    <w:rsid w:val="00F677DE"/>
    <w:rsid w:val="00F70C38"/>
    <w:rsid w:val="00F73C3D"/>
    <w:rsid w:val="00F745B2"/>
    <w:rsid w:val="00F84CCE"/>
    <w:rsid w:val="00F85249"/>
    <w:rsid w:val="00F945F2"/>
    <w:rsid w:val="00F96EFB"/>
    <w:rsid w:val="00F97325"/>
    <w:rsid w:val="00F97FB3"/>
    <w:rsid w:val="00FA1218"/>
    <w:rsid w:val="00FA4506"/>
    <w:rsid w:val="00FA47F1"/>
    <w:rsid w:val="00FA6DDD"/>
    <w:rsid w:val="00FB0B21"/>
    <w:rsid w:val="00FC2851"/>
    <w:rsid w:val="00FC5A3D"/>
    <w:rsid w:val="00FC6875"/>
    <w:rsid w:val="00FD6410"/>
    <w:rsid w:val="00FD754F"/>
    <w:rsid w:val="00FD75E1"/>
    <w:rsid w:val="00FD760E"/>
    <w:rsid w:val="00FE2ADE"/>
    <w:rsid w:val="00FE46D5"/>
    <w:rsid w:val="00FF00F9"/>
    <w:rsid w:val="00FF050B"/>
    <w:rsid w:val="00FF06FA"/>
    <w:rsid w:val="00FF1BA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CDA5DC9E-7CD3-44AA-BF18-B4CE9A52E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table" w:styleId="Tablaconcuadrcula">
    <w:name w:val="Table Grid"/>
    <w:basedOn w:val="Tablanormal"/>
    <w:uiPriority w:val="39"/>
    <w:rsid w:val="00DA56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E74FE"/>
    <w:rPr>
      <w:color w:val="0563C1" w:themeColor="hyperlink"/>
      <w:u w:val="single"/>
    </w:rPr>
  </w:style>
  <w:style w:type="character" w:styleId="Mencinsinresolver">
    <w:name w:val="Unresolved Mention"/>
    <w:basedOn w:val="Fuentedeprrafopredeter"/>
    <w:uiPriority w:val="99"/>
    <w:semiHidden/>
    <w:unhideWhenUsed/>
    <w:rsid w:val="00AE74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JXf4f5iMhZsRY5djL-ifPT0Fk-Cy5zIV?usp=shar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C23CD-6772-4557-8009-047F5AB71D63}">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558</Words>
  <Characters>3075</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Glenda Martínez Carranza</dc:creator>
  <cp:lastModifiedBy>Luz Maria Rico Jardon</cp:lastModifiedBy>
  <cp:revision>2</cp:revision>
  <cp:lastPrinted>2024-10-03T14:20:00Z</cp:lastPrinted>
  <dcterms:created xsi:type="dcterms:W3CDTF">2026-09-28T15:44:00Z</dcterms:created>
  <dcterms:modified xsi:type="dcterms:W3CDTF">2026-09-28T15:44:00Z</dcterms:modified>
</cp:coreProperties>
</file>