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45C6" w14:textId="6D5C2374" w:rsidR="004E262B" w:rsidRDefault="00F10E5A">
      <w:pPr>
        <w:jc w:val="both"/>
        <w:rPr>
          <w:rFonts w:ascii="Noto Sans" w:eastAsia="Noto Sans" w:hAnsi="Noto Sans" w:cs="Noto Sans"/>
          <w:sz w:val="19"/>
          <w:szCs w:val="19"/>
        </w:rPr>
      </w:pPr>
      <w:r>
        <w:rPr>
          <w:noProof/>
        </w:rPr>
        <mc:AlternateContent>
          <mc:Choice Requires="wps">
            <w:drawing>
              <wp:anchor distT="0" distB="0" distL="114300" distR="114300" simplePos="0" relativeHeight="251658240" behindDoc="0" locked="0" layoutInCell="1" hidden="0" allowOverlap="1" wp14:anchorId="342FA382" wp14:editId="6890116B">
                <wp:simplePos x="0" y="0"/>
                <wp:positionH relativeFrom="column">
                  <wp:posOffset>2373630</wp:posOffset>
                </wp:positionH>
                <wp:positionV relativeFrom="paragraph">
                  <wp:posOffset>1270</wp:posOffset>
                </wp:positionV>
                <wp:extent cx="3845560" cy="790575"/>
                <wp:effectExtent l="0" t="0" r="2540" b="9525"/>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3845560" cy="790575"/>
                        </a:xfrm>
                        <a:prstGeom prst="rect">
                          <a:avLst/>
                        </a:prstGeom>
                        <a:noFill/>
                        <a:ln>
                          <a:noFill/>
                        </a:ln>
                      </wps:spPr>
                      <wps:txbx>
                        <w:txbxContent>
                          <w:p w14:paraId="4D2D2063" w14:textId="77777777" w:rsidR="004E262B" w:rsidRDefault="006A12C5">
                            <w:pPr>
                              <w:spacing w:before="120" w:after="40" w:line="219" w:lineRule="auto"/>
                              <w:jc w:val="right"/>
                              <w:textDirection w:val="btLr"/>
                            </w:pPr>
                            <w:r>
                              <w:rPr>
                                <w:rFonts w:ascii="Noto Sans" w:eastAsia="Noto Sans" w:hAnsi="Noto Sans" w:cs="Noto Sans"/>
                                <w:color w:val="BA8C54"/>
                                <w:sz w:val="28"/>
                              </w:rPr>
                              <w:t>BOLETÍN DE PRENSA</w:t>
                            </w:r>
                          </w:p>
                          <w:p w14:paraId="5740605D" w14:textId="685C7485" w:rsidR="004E262B" w:rsidRDefault="006A12C5">
                            <w:pPr>
                              <w:spacing w:before="120" w:after="40" w:line="219" w:lineRule="auto"/>
                              <w:jc w:val="right"/>
                              <w:textDirection w:val="btLr"/>
                            </w:pPr>
                            <w:r>
                              <w:rPr>
                                <w:rFonts w:ascii="Noto Sans" w:eastAsia="Noto Sans" w:hAnsi="Noto Sans" w:cs="Noto Sans"/>
                                <w:color w:val="000000"/>
                                <w:sz w:val="20"/>
                              </w:rPr>
                              <w:t xml:space="preserve">Ciudad de México, </w:t>
                            </w:r>
                            <w:r w:rsidR="00DA1EF6">
                              <w:rPr>
                                <w:rFonts w:ascii="Noto Sans" w:eastAsia="Noto Sans" w:hAnsi="Noto Sans" w:cs="Noto Sans"/>
                                <w:color w:val="000000"/>
                                <w:sz w:val="20"/>
                              </w:rPr>
                              <w:t xml:space="preserve">martes </w:t>
                            </w:r>
                            <w:r w:rsidR="00A04CE2">
                              <w:rPr>
                                <w:rFonts w:ascii="Noto Sans" w:eastAsia="Noto Sans" w:hAnsi="Noto Sans" w:cs="Noto Sans"/>
                                <w:color w:val="000000"/>
                                <w:sz w:val="20"/>
                              </w:rPr>
                              <w:t>0</w:t>
                            </w:r>
                            <w:r w:rsidR="00DA1EF6">
                              <w:rPr>
                                <w:rFonts w:ascii="Noto Sans" w:eastAsia="Noto Sans" w:hAnsi="Noto Sans" w:cs="Noto Sans"/>
                                <w:color w:val="000000"/>
                                <w:sz w:val="20"/>
                              </w:rPr>
                              <w:t>1 de septiembre</w:t>
                            </w:r>
                            <w:r>
                              <w:rPr>
                                <w:rFonts w:ascii="Noto Sans" w:eastAsia="Noto Sans" w:hAnsi="Noto Sans" w:cs="Noto Sans"/>
                                <w:color w:val="000000"/>
                                <w:sz w:val="20"/>
                              </w:rPr>
                              <w:t xml:space="preserve"> de 2026 </w:t>
                            </w:r>
                          </w:p>
                          <w:p w14:paraId="5BBDA6ED" w14:textId="3880F8A7" w:rsidR="004E262B" w:rsidRDefault="006A12C5">
                            <w:pPr>
                              <w:spacing w:before="120" w:after="40" w:line="219" w:lineRule="auto"/>
                              <w:jc w:val="right"/>
                              <w:textDirection w:val="btLr"/>
                            </w:pPr>
                            <w:r>
                              <w:rPr>
                                <w:rFonts w:ascii="Noto Sans" w:eastAsia="Noto Sans" w:hAnsi="Noto Sans" w:cs="Noto Sans"/>
                                <w:color w:val="000000"/>
                                <w:sz w:val="20"/>
                              </w:rPr>
                              <w:t xml:space="preserve">No. </w:t>
                            </w:r>
                            <w:r w:rsidR="00A04CE2">
                              <w:rPr>
                                <w:rFonts w:ascii="Noto Sans" w:eastAsia="Noto Sans" w:hAnsi="Noto Sans" w:cs="Noto Sans"/>
                                <w:color w:val="000000"/>
                                <w:sz w:val="20"/>
                              </w:rPr>
                              <w:t>465</w:t>
                            </w:r>
                            <w:r>
                              <w:rPr>
                                <w:rFonts w:ascii="Noto Sans" w:eastAsia="Noto Sans" w:hAnsi="Noto Sans" w:cs="Noto Sans"/>
                                <w:color w:val="000000"/>
                                <w:sz w:val="20"/>
                              </w:rPr>
                              <w:t>/2026</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42FA382" id="Rectángulo 1" o:spid="_x0000_s1026" style="position:absolute;left:0;text-align:left;margin-left:186.9pt;margin-top:.1pt;width:302.8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" filled="f" stroked="f">
                <v:textbox inset="0,0,0,0">
                  <w:txbxContent>
                    <w:p w14:paraId="4D2D2063" w14:textId="77777777" w:rsidR="004E262B" w:rsidRDefault="006A12C5">
                      <w:pPr>
                        <w:spacing w:before="120" w:after="40" w:line="219" w:lineRule="auto"/>
                        <w:jc w:val="right"/>
                        <w:textDirection w:val="btLr"/>
                      </w:pPr>
                      <w:r>
                        <w:rPr>
                          <w:rFonts w:ascii="Noto Sans" w:eastAsia="Noto Sans" w:hAnsi="Noto Sans" w:cs="Noto Sans"/>
                          <w:color w:val="BA8C54"/>
                          <w:sz w:val="28"/>
                        </w:rPr>
                        <w:t>BOLETÍN DE PRENSA</w:t>
                      </w:r>
                    </w:p>
                    <w:p w14:paraId="5740605D" w14:textId="685C7485" w:rsidR="004E262B" w:rsidRDefault="006A12C5">
                      <w:pPr>
                        <w:spacing w:before="120" w:after="40" w:line="219" w:lineRule="auto"/>
                        <w:jc w:val="right"/>
                        <w:textDirection w:val="btLr"/>
                      </w:pPr>
                      <w:r>
                        <w:rPr>
                          <w:rFonts w:ascii="Noto Sans" w:eastAsia="Noto Sans" w:hAnsi="Noto Sans" w:cs="Noto Sans"/>
                          <w:color w:val="000000"/>
                          <w:sz w:val="20"/>
                        </w:rPr>
                        <w:t xml:space="preserve">Ciudad de México, </w:t>
                      </w:r>
                      <w:r w:rsidR="00DA1EF6">
                        <w:rPr>
                          <w:rFonts w:ascii="Noto Sans" w:eastAsia="Noto Sans" w:hAnsi="Noto Sans" w:cs="Noto Sans"/>
                          <w:color w:val="000000"/>
                          <w:sz w:val="20"/>
                        </w:rPr>
                        <w:t xml:space="preserve">martes </w:t>
                      </w:r>
                      <w:r w:rsidR="00A04CE2">
                        <w:rPr>
                          <w:rFonts w:ascii="Noto Sans" w:eastAsia="Noto Sans" w:hAnsi="Noto Sans" w:cs="Noto Sans"/>
                          <w:color w:val="000000"/>
                          <w:sz w:val="20"/>
                        </w:rPr>
                        <w:t>0</w:t>
                      </w:r>
                      <w:r w:rsidR="00DA1EF6">
                        <w:rPr>
                          <w:rFonts w:ascii="Noto Sans" w:eastAsia="Noto Sans" w:hAnsi="Noto Sans" w:cs="Noto Sans"/>
                          <w:color w:val="000000"/>
                          <w:sz w:val="20"/>
                        </w:rPr>
                        <w:t>1 de septiembre</w:t>
                      </w:r>
                      <w:r>
                        <w:rPr>
                          <w:rFonts w:ascii="Noto Sans" w:eastAsia="Noto Sans" w:hAnsi="Noto Sans" w:cs="Noto Sans"/>
                          <w:color w:val="000000"/>
                          <w:sz w:val="20"/>
                        </w:rPr>
                        <w:t xml:space="preserve"> de 2026 </w:t>
                      </w:r>
                    </w:p>
                    <w:p w14:paraId="5BBDA6ED" w14:textId="3880F8A7" w:rsidR="004E262B" w:rsidRDefault="006A12C5">
                      <w:pPr>
                        <w:spacing w:before="120" w:after="40" w:line="219" w:lineRule="auto"/>
                        <w:jc w:val="right"/>
                        <w:textDirection w:val="btLr"/>
                      </w:pPr>
                      <w:r>
                        <w:rPr>
                          <w:rFonts w:ascii="Noto Sans" w:eastAsia="Noto Sans" w:hAnsi="Noto Sans" w:cs="Noto Sans"/>
                          <w:color w:val="000000"/>
                          <w:sz w:val="20"/>
                        </w:rPr>
                        <w:t xml:space="preserve">No. </w:t>
                      </w:r>
                      <w:r w:rsidR="00A04CE2">
                        <w:rPr>
                          <w:rFonts w:ascii="Noto Sans" w:eastAsia="Noto Sans" w:hAnsi="Noto Sans" w:cs="Noto Sans"/>
                          <w:color w:val="000000"/>
                          <w:sz w:val="20"/>
                        </w:rPr>
                        <w:t>465</w:t>
                      </w:r>
                      <w:r>
                        <w:rPr>
                          <w:rFonts w:ascii="Noto Sans" w:eastAsia="Noto Sans" w:hAnsi="Noto Sans" w:cs="Noto Sans"/>
                          <w:color w:val="000000"/>
                          <w:sz w:val="20"/>
                        </w:rPr>
                        <w:t>/2026</w:t>
                      </w:r>
                    </w:p>
                  </w:txbxContent>
                </v:textbox>
                <w10:wrap type="square"/>
              </v:rect>
            </w:pict>
          </mc:Fallback>
        </mc:AlternateContent>
      </w:r>
      <w:r>
        <w:rPr>
          <w:rFonts w:ascii="Geom" w:eastAsia="Geom" w:hAnsi="Geom" w:cs="Geom"/>
          <w:sz w:val="21"/>
          <w:szCs w:val="21"/>
        </w:rPr>
        <w:t xml:space="preserve"> </w:t>
      </w:r>
    </w:p>
    <w:p w14:paraId="1E2B822A" w14:textId="77777777" w:rsidR="004E262B" w:rsidRDefault="004E262B">
      <w:pPr>
        <w:jc w:val="both"/>
        <w:rPr>
          <w:rFonts w:ascii="Noto Sans" w:eastAsia="Noto Sans" w:hAnsi="Noto Sans" w:cs="Noto Sans"/>
          <w:sz w:val="19"/>
          <w:szCs w:val="19"/>
        </w:rPr>
      </w:pPr>
    </w:p>
    <w:p w14:paraId="062D58CF" w14:textId="77777777" w:rsidR="004E262B" w:rsidRDefault="004E262B">
      <w:pPr>
        <w:jc w:val="both"/>
        <w:rPr>
          <w:rFonts w:ascii="Noto Sans" w:eastAsia="Noto Sans" w:hAnsi="Noto Sans" w:cs="Noto Sans"/>
          <w:sz w:val="19"/>
          <w:szCs w:val="19"/>
        </w:rPr>
      </w:pPr>
    </w:p>
    <w:p w14:paraId="14B49E9F" w14:textId="77777777" w:rsidR="004E262B" w:rsidRDefault="004E262B">
      <w:pPr>
        <w:jc w:val="center"/>
        <w:rPr>
          <w:rFonts w:ascii="Noto Sans" w:eastAsia="Noto Sans" w:hAnsi="Noto Sans" w:cs="Noto Sans"/>
          <w:b/>
          <w:bCs/>
          <w:sz w:val="32"/>
          <w:szCs w:val="32"/>
        </w:rPr>
      </w:pPr>
    </w:p>
    <w:p w14:paraId="759C67B6" w14:textId="77777777" w:rsidR="00F10E5A" w:rsidRDefault="00F10E5A">
      <w:pPr>
        <w:ind w:right="21"/>
        <w:jc w:val="center"/>
        <w:rPr>
          <w:rFonts w:ascii="Noto Sans" w:eastAsia="Noto Sans" w:hAnsi="Noto Sans" w:cs="Noto Sans"/>
          <w:b/>
          <w:bCs/>
          <w:sz w:val="30"/>
          <w:szCs w:val="30"/>
        </w:rPr>
      </w:pPr>
    </w:p>
    <w:p w14:paraId="7035EDAF" w14:textId="02C90A4A" w:rsidR="004E262B" w:rsidRDefault="006A12C5">
      <w:pPr>
        <w:ind w:right="21"/>
        <w:jc w:val="center"/>
        <w:rPr>
          <w:rFonts w:ascii="Noto Sans" w:eastAsia="Noto Sans" w:hAnsi="Noto Sans" w:cs="Noto Sans"/>
          <w:b/>
          <w:bCs/>
          <w:sz w:val="30"/>
          <w:szCs w:val="30"/>
        </w:rPr>
      </w:pPr>
      <w:r>
        <w:rPr>
          <w:rFonts w:ascii="Noto Sans" w:eastAsia="Noto Sans" w:hAnsi="Noto Sans" w:cs="Noto Sans"/>
          <w:b/>
          <w:bCs/>
          <w:sz w:val="30"/>
          <w:szCs w:val="30"/>
        </w:rPr>
        <w:t xml:space="preserve">Refuerza IMSS acciones de prevención y detección contra el dengue; invita a la población a una </w:t>
      </w:r>
      <w:proofErr w:type="gramStart"/>
      <w:r>
        <w:rPr>
          <w:rFonts w:ascii="Noto Sans" w:eastAsia="Noto Sans" w:hAnsi="Noto Sans" w:cs="Noto Sans"/>
          <w:b/>
          <w:bCs/>
          <w:sz w:val="30"/>
          <w:szCs w:val="30"/>
        </w:rPr>
        <w:t>participación activa</w:t>
      </w:r>
      <w:proofErr w:type="gramEnd"/>
    </w:p>
    <w:p w14:paraId="5FEC4E0E" w14:textId="77777777" w:rsidR="004E262B" w:rsidRDefault="004E262B">
      <w:pPr>
        <w:ind w:right="21"/>
        <w:rPr>
          <w:rFonts w:ascii="Noto Sans" w:eastAsia="Noto Sans" w:hAnsi="Noto Sans" w:cs="Noto Sans"/>
          <w:b/>
          <w:bCs/>
          <w:sz w:val="20"/>
          <w:szCs w:val="20"/>
        </w:rPr>
      </w:pPr>
    </w:p>
    <w:p w14:paraId="077B561E" w14:textId="77777777" w:rsidR="004E262B" w:rsidRDefault="006A12C5">
      <w:pPr>
        <w:numPr>
          <w:ilvl w:val="0"/>
          <w:numId w:val="1"/>
        </w:numPr>
        <w:pBdr>
          <w:top w:val="nil"/>
          <w:left w:val="nil"/>
          <w:bottom w:val="nil"/>
          <w:right w:val="nil"/>
          <w:between w:val="nil"/>
        </w:pBdr>
        <w:ind w:right="21"/>
        <w:jc w:val="both"/>
        <w:rPr>
          <w:b/>
          <w:bCs/>
          <w:color w:val="000000"/>
          <w:sz w:val="20"/>
          <w:szCs w:val="20"/>
        </w:rPr>
      </w:pPr>
      <w:r>
        <w:rPr>
          <w:rFonts w:ascii="Noto Sans" w:eastAsia="Noto Sans" w:hAnsi="Noto Sans" w:cs="Noto Sans"/>
          <w:b/>
          <w:bCs/>
          <w:color w:val="000000"/>
          <w:sz w:val="20"/>
          <w:szCs w:val="20"/>
        </w:rPr>
        <w:t>Hasta la semana 27 de 2026, en el IMSS se tienen 17 mil 304 casos notificados, de los cuales dos mil 479 han requerido manejo hospitalario.</w:t>
      </w:r>
    </w:p>
    <w:p w14:paraId="21A36703" w14:textId="77777777" w:rsidR="004E262B" w:rsidRDefault="006A12C5">
      <w:pPr>
        <w:numPr>
          <w:ilvl w:val="0"/>
          <w:numId w:val="1"/>
        </w:numPr>
        <w:pBdr>
          <w:top w:val="nil"/>
          <w:left w:val="nil"/>
          <w:bottom w:val="nil"/>
          <w:right w:val="nil"/>
          <w:between w:val="nil"/>
        </w:pBdr>
        <w:ind w:right="21"/>
        <w:jc w:val="both"/>
        <w:rPr>
          <w:b/>
          <w:bCs/>
          <w:color w:val="000000"/>
          <w:sz w:val="20"/>
          <w:szCs w:val="20"/>
        </w:rPr>
      </w:pPr>
      <w:r>
        <w:rPr>
          <w:rFonts w:ascii="Noto Sans" w:eastAsia="Noto Sans" w:hAnsi="Noto Sans" w:cs="Noto Sans"/>
          <w:b/>
          <w:bCs/>
          <w:color w:val="000000"/>
          <w:sz w:val="20"/>
          <w:szCs w:val="20"/>
        </w:rPr>
        <w:t>La titular de la Coordinación de Vigilancia Epidemiológica dijo que es fundamental que la población elimine criaderos del mosquito transmisor para reducir el riesgo de nuevos casos.</w:t>
      </w:r>
    </w:p>
    <w:p w14:paraId="14B394B7" w14:textId="77777777" w:rsidR="004E262B" w:rsidRDefault="006A12C5">
      <w:pPr>
        <w:pBdr>
          <w:top w:val="nil"/>
          <w:left w:val="nil"/>
          <w:bottom w:val="nil"/>
          <w:right w:val="nil"/>
          <w:between w:val="nil"/>
        </w:pBdr>
        <w:ind w:left="709" w:right="-801"/>
        <w:jc w:val="both"/>
        <w:rPr>
          <w:rFonts w:ascii="Noto Sans" w:eastAsia="Noto Sans" w:hAnsi="Noto Sans" w:cs="Noto Sans"/>
          <w:color w:val="000000"/>
          <w:sz w:val="22"/>
          <w:szCs w:val="22"/>
        </w:rPr>
      </w:pPr>
      <w:r>
        <w:rPr>
          <w:rFonts w:ascii="Noto Sans" w:eastAsia="Noto Sans" w:hAnsi="Noto Sans" w:cs="Noto Sans"/>
          <w:b/>
          <w:bCs/>
          <w:color w:val="000000"/>
          <w:sz w:val="20"/>
          <w:szCs w:val="20"/>
        </w:rPr>
        <w:t xml:space="preserve"> </w:t>
      </w:r>
    </w:p>
    <w:p w14:paraId="485CF3EA" w14:textId="26C95BB6" w:rsidR="004E262B" w:rsidRDefault="00F10E5A">
      <w:pPr>
        <w:ind w:right="49"/>
        <w:jc w:val="both"/>
        <w:rPr>
          <w:rFonts w:ascii="Noto Sans" w:eastAsia="Noto Sans" w:hAnsi="Noto Sans" w:cs="Noto Sans"/>
          <w:sz w:val="20"/>
          <w:szCs w:val="20"/>
        </w:rPr>
      </w:pPr>
      <w:r>
        <w:rPr>
          <w:rFonts w:ascii="Noto Sans" w:eastAsia="Noto Sans" w:hAnsi="Noto Sans" w:cs="Noto Sans"/>
          <w:sz w:val="20"/>
          <w:szCs w:val="20"/>
        </w:rPr>
        <w:t xml:space="preserve">El Instituto Mexicano del Seguro Social (IMSS) hizo un llamado a fortalecer las medidas de prevención, mantener las medidas de contención y vigilancia ante la presencia del mosquito </w:t>
      </w:r>
      <w:r>
        <w:rPr>
          <w:rFonts w:ascii="Noto Sans" w:eastAsia="Noto Sans" w:hAnsi="Noto Sans" w:cs="Noto Sans"/>
          <w:i/>
          <w:iCs/>
          <w:sz w:val="20"/>
          <w:szCs w:val="20"/>
        </w:rPr>
        <w:t xml:space="preserve">Aedes </w:t>
      </w:r>
      <w:proofErr w:type="spellStart"/>
      <w:r>
        <w:rPr>
          <w:rFonts w:ascii="Noto Sans" w:eastAsia="Noto Sans" w:hAnsi="Noto Sans" w:cs="Noto Sans"/>
          <w:i/>
          <w:iCs/>
          <w:sz w:val="20"/>
          <w:szCs w:val="20"/>
        </w:rPr>
        <w:t>aegypti</w:t>
      </w:r>
      <w:proofErr w:type="spellEnd"/>
      <w:r>
        <w:rPr>
          <w:rFonts w:ascii="Noto Sans" w:eastAsia="Noto Sans" w:hAnsi="Noto Sans" w:cs="Noto Sans"/>
          <w:sz w:val="20"/>
          <w:szCs w:val="20"/>
        </w:rPr>
        <w:t>, transmisor de la enfermedad del dengue.</w:t>
      </w:r>
    </w:p>
    <w:p w14:paraId="31064421" w14:textId="77777777" w:rsidR="004E262B" w:rsidRDefault="004E262B">
      <w:pPr>
        <w:ind w:right="49"/>
        <w:jc w:val="both"/>
        <w:rPr>
          <w:rFonts w:ascii="Noto Sans" w:eastAsia="Noto Sans" w:hAnsi="Noto Sans" w:cs="Noto Sans"/>
          <w:sz w:val="20"/>
          <w:szCs w:val="20"/>
        </w:rPr>
      </w:pPr>
    </w:p>
    <w:p w14:paraId="587083F2"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La doctora Adriana Josefina Toríz Saldaña, titular de la Coordinación de Vigilancia Epidemiológica del IMSS, detalló que se ha registrado una disminución aproximada de 50 por ciento de casos al comparar los datos de la semana 27 de 2025 y 2026, al pasar de 27 mil 534 casos notificados a 17 mil 304; destacó que menos de dos mil 500 personas han requerido manejo hospitalario.</w:t>
      </w:r>
    </w:p>
    <w:p w14:paraId="6F82D292" w14:textId="77777777" w:rsidR="004E262B" w:rsidRDefault="004E262B">
      <w:pPr>
        <w:ind w:right="49"/>
        <w:jc w:val="both"/>
        <w:rPr>
          <w:rFonts w:ascii="Noto Sans" w:eastAsia="Noto Sans" w:hAnsi="Noto Sans" w:cs="Noto Sans"/>
          <w:sz w:val="20"/>
          <w:szCs w:val="20"/>
        </w:rPr>
      </w:pPr>
    </w:p>
    <w:p w14:paraId="08D52E51"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No obstante, esta disminución, dijo, el dengue continúa presente a nivel comunitario en diversas entidades del país como Baja California, Baja California Sur, Chiapas, Guerrero, Oaxaca, Sinaloa y Sonora, además de presentarse en estados donde antes no había casos como Aguascalientes, Morelos y San Luis Potosí, por lo que es necesario fortalecer las acciones preventivas.</w:t>
      </w:r>
    </w:p>
    <w:p w14:paraId="755E95E4" w14:textId="77777777" w:rsidR="004E262B" w:rsidRDefault="004E262B">
      <w:pPr>
        <w:ind w:right="49"/>
        <w:jc w:val="both"/>
        <w:rPr>
          <w:rFonts w:ascii="Noto Sans" w:eastAsia="Noto Sans" w:hAnsi="Noto Sans" w:cs="Noto Sans"/>
          <w:sz w:val="20"/>
          <w:szCs w:val="20"/>
        </w:rPr>
      </w:pPr>
    </w:p>
    <w:p w14:paraId="48A93C12"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Explicó que las condiciones ambientales, entre ellas las lluvias y el incremento de temperaturas asociado al calentamiento global, pueden favorecer la presencia del mosquito y contribuir a la aparición de nuevos casos, por lo que la prevención debe mantenerse durante todo el año.</w:t>
      </w:r>
    </w:p>
    <w:p w14:paraId="1F725C47" w14:textId="77777777" w:rsidR="004E262B" w:rsidRDefault="004E262B">
      <w:pPr>
        <w:ind w:right="49"/>
        <w:jc w:val="both"/>
        <w:rPr>
          <w:rFonts w:ascii="Noto Sans" w:eastAsia="Noto Sans" w:hAnsi="Noto Sans" w:cs="Noto Sans"/>
          <w:sz w:val="20"/>
          <w:szCs w:val="20"/>
        </w:rPr>
      </w:pPr>
    </w:p>
    <w:p w14:paraId="014ACC30"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La especialista resaltó que una de las medidas más efectivas consiste en eliminar los sitios donde el mosquito puede reproducirse, mediante acciones como la descacharrización, mantener patios y azoteas limpios y evitar recipientes que acumulen agua, actividades que requieren la participación de familias y comunidades para reducir la formación de criaderos.</w:t>
      </w:r>
    </w:p>
    <w:p w14:paraId="2D88105A" w14:textId="77777777" w:rsidR="004E262B" w:rsidRDefault="004E262B">
      <w:pPr>
        <w:ind w:right="49"/>
        <w:jc w:val="both"/>
        <w:rPr>
          <w:rFonts w:ascii="Noto Sans" w:eastAsia="Noto Sans" w:hAnsi="Noto Sans" w:cs="Noto Sans"/>
          <w:sz w:val="20"/>
          <w:szCs w:val="20"/>
        </w:rPr>
      </w:pPr>
    </w:p>
    <w:p w14:paraId="57E8080A"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Añadió que también es importante reforzar la protección personal mediante el uso de repelente y ropa que cubra brazos y piernas, particularmente durante los periodos del día en que existe mayor actividad del mosquito, esto es de las seis a las siete de la mañana y de las seis a las siete de la tarde.</w:t>
      </w:r>
    </w:p>
    <w:p w14:paraId="7B894793" w14:textId="77777777" w:rsidR="004E262B" w:rsidRDefault="004E262B">
      <w:pPr>
        <w:ind w:right="49"/>
        <w:jc w:val="both"/>
        <w:rPr>
          <w:rFonts w:ascii="Noto Sans" w:eastAsia="Noto Sans" w:hAnsi="Noto Sans" w:cs="Noto Sans"/>
          <w:sz w:val="20"/>
          <w:szCs w:val="20"/>
        </w:rPr>
      </w:pPr>
    </w:p>
    <w:p w14:paraId="5C8BD620"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lastRenderedPageBreak/>
        <w:t>La doctora Toriz Saldaña subrayó que reconocer oportunamente los signos de alarma puede contribuir a evitar complicaciones, entre ellos se encuentran dolor abdominal, vómito persistente y letargo; ante la aparición de uno o varios de estos signos, recomendó acudir de inmediato a una unidad médica.</w:t>
      </w:r>
    </w:p>
    <w:p w14:paraId="7BA2700C" w14:textId="77777777" w:rsidR="004E262B" w:rsidRDefault="004E262B">
      <w:pPr>
        <w:ind w:right="49"/>
        <w:jc w:val="both"/>
        <w:rPr>
          <w:rFonts w:ascii="Noto Sans" w:eastAsia="Noto Sans" w:hAnsi="Noto Sans" w:cs="Noto Sans"/>
          <w:sz w:val="20"/>
          <w:szCs w:val="20"/>
        </w:rPr>
      </w:pPr>
    </w:p>
    <w:p w14:paraId="21B1882E"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En este sentido, hizo un llamado a no automedicarse ante la presencia de los síntomas referidos, ya que algunos fármacos, en particular de tipo antinflamatorio, pueden incrementar el riesgo de sangrado.</w:t>
      </w:r>
    </w:p>
    <w:p w14:paraId="32C1FE17" w14:textId="77777777" w:rsidR="004E262B" w:rsidRDefault="004E262B">
      <w:pPr>
        <w:ind w:right="49"/>
        <w:jc w:val="both"/>
        <w:rPr>
          <w:rFonts w:ascii="Noto Sans" w:eastAsia="Noto Sans" w:hAnsi="Noto Sans" w:cs="Noto Sans"/>
          <w:sz w:val="20"/>
          <w:szCs w:val="20"/>
        </w:rPr>
      </w:pPr>
    </w:p>
    <w:p w14:paraId="573D86BB"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Indicó que en el IMSS el diagnóstico del dengue parte de la valoración clínica que realizan los médicos, quienes cuentan además con pruebas de laboratorio para apoyar la confirmación de los casos y que están disponibles en los tres niveles de atención a fin de fortalecer la identificación oportuna de la enfermedad y definir el tratamiento que requiere cada paciente.</w:t>
      </w:r>
    </w:p>
    <w:p w14:paraId="6E668D9F" w14:textId="77777777" w:rsidR="004E262B" w:rsidRDefault="004E262B">
      <w:pPr>
        <w:ind w:right="49"/>
        <w:jc w:val="both"/>
        <w:rPr>
          <w:rFonts w:ascii="Noto Sans" w:eastAsia="Noto Sans" w:hAnsi="Noto Sans" w:cs="Noto Sans"/>
          <w:sz w:val="20"/>
          <w:szCs w:val="20"/>
        </w:rPr>
      </w:pPr>
    </w:p>
    <w:p w14:paraId="6F53F6DC"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Como parte de las medidas institucionales para disminuir la presencia del mosquito en espacios donde se brinda atención y cuidado, el IMSS inició en Chiapas el uso de pintura con propiedades repelentes en unidades médicas y guarderías, estrategia que busca reducir la presencia del vector en los alrededores de estos espacios y contribuir a la protección de pacientes, trabajadores e infancias</w:t>
      </w:r>
    </w:p>
    <w:p w14:paraId="0332378F" w14:textId="77777777" w:rsidR="004E262B" w:rsidRDefault="004E262B">
      <w:pPr>
        <w:ind w:right="49"/>
        <w:jc w:val="both"/>
        <w:rPr>
          <w:rFonts w:ascii="Noto Sans" w:eastAsia="Noto Sans" w:hAnsi="Noto Sans" w:cs="Noto Sans"/>
          <w:sz w:val="20"/>
          <w:szCs w:val="20"/>
        </w:rPr>
      </w:pPr>
    </w:p>
    <w:p w14:paraId="388A1023"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Informó que la Coordinación de Vigilancia Epidemiológica concentra y analiza la información para apoyar la toma de decisiones en las entidades, además de fortalecer las capacidades del personal médico mediante capacitación, seguimiento epidemiológico y la emisión de información semanal de la distribución de casos.</w:t>
      </w:r>
    </w:p>
    <w:p w14:paraId="2399E87C" w14:textId="77777777" w:rsidR="004E262B" w:rsidRDefault="004E262B">
      <w:pPr>
        <w:ind w:right="49"/>
        <w:jc w:val="both"/>
        <w:rPr>
          <w:rFonts w:ascii="Noto Sans" w:eastAsia="Noto Sans" w:hAnsi="Noto Sans" w:cs="Noto Sans"/>
          <w:sz w:val="20"/>
          <w:szCs w:val="20"/>
        </w:rPr>
      </w:pPr>
    </w:p>
    <w:p w14:paraId="62789863" w14:textId="77777777" w:rsidR="004E262B" w:rsidRDefault="006A12C5">
      <w:pPr>
        <w:ind w:right="49"/>
        <w:jc w:val="both"/>
        <w:rPr>
          <w:rFonts w:ascii="Noto Sans" w:eastAsia="Noto Sans" w:hAnsi="Noto Sans" w:cs="Noto Sans"/>
          <w:sz w:val="20"/>
          <w:szCs w:val="20"/>
        </w:rPr>
      </w:pPr>
      <w:r>
        <w:rPr>
          <w:rFonts w:ascii="Noto Sans" w:eastAsia="Noto Sans" w:hAnsi="Noto Sans" w:cs="Noto Sans"/>
          <w:sz w:val="20"/>
          <w:szCs w:val="20"/>
        </w:rPr>
        <w:t>La titular de la Coordinación de Vigilancia Epidemiológica reiteró que prevenir, identificar oportunamente los signos de alarma y evitar la automedicación son acciones fundamentales para disminuir el impacto del dengue y proteger a la población.</w:t>
      </w:r>
    </w:p>
    <w:p w14:paraId="477B08C6" w14:textId="77777777" w:rsidR="004E262B" w:rsidRDefault="004E262B">
      <w:pPr>
        <w:ind w:right="49"/>
        <w:jc w:val="both"/>
        <w:rPr>
          <w:rFonts w:ascii="Noto Sans" w:eastAsia="Noto Sans" w:hAnsi="Noto Sans" w:cs="Noto Sans"/>
          <w:sz w:val="20"/>
          <w:szCs w:val="20"/>
        </w:rPr>
      </w:pPr>
    </w:p>
    <w:p w14:paraId="560C629A" w14:textId="77777777" w:rsidR="004E262B" w:rsidRDefault="006A12C5">
      <w:pPr>
        <w:ind w:right="49"/>
        <w:jc w:val="center"/>
        <w:rPr>
          <w:rFonts w:ascii="Noto Sans" w:eastAsia="Noto Sans" w:hAnsi="Noto Sans" w:cs="Noto Sans"/>
          <w:b/>
          <w:bCs/>
          <w:sz w:val="20"/>
          <w:szCs w:val="20"/>
        </w:rPr>
      </w:pPr>
      <w:r>
        <w:rPr>
          <w:rFonts w:ascii="Noto Sans" w:eastAsia="Noto Sans" w:hAnsi="Noto Sans" w:cs="Noto Sans"/>
          <w:b/>
          <w:bCs/>
          <w:sz w:val="20"/>
          <w:szCs w:val="20"/>
        </w:rPr>
        <w:t>--- o0o ---</w:t>
      </w:r>
    </w:p>
    <w:p w14:paraId="626051B2" w14:textId="77777777" w:rsidR="006A12C5" w:rsidRDefault="006A12C5">
      <w:pPr>
        <w:ind w:right="49"/>
        <w:jc w:val="center"/>
        <w:rPr>
          <w:rFonts w:ascii="Noto Sans" w:eastAsia="Noto Sans" w:hAnsi="Noto Sans" w:cs="Noto Sans"/>
          <w:b/>
          <w:bCs/>
          <w:sz w:val="20"/>
          <w:szCs w:val="20"/>
        </w:rPr>
      </w:pPr>
    </w:p>
    <w:p w14:paraId="4F8232DA" w14:textId="77777777" w:rsidR="006A12C5" w:rsidRPr="006A12C5" w:rsidRDefault="006A12C5" w:rsidP="006A12C5">
      <w:pPr>
        <w:ind w:right="49"/>
        <w:jc w:val="both"/>
        <w:rPr>
          <w:rFonts w:ascii="Noto Sans" w:eastAsia="Noto Sans" w:hAnsi="Noto Sans" w:cs="Noto Sans"/>
          <w:b/>
          <w:bCs/>
          <w:sz w:val="20"/>
          <w:szCs w:val="20"/>
        </w:rPr>
      </w:pPr>
      <w:proofErr w:type="gramStart"/>
      <w:r w:rsidRPr="006A12C5">
        <w:rPr>
          <w:rFonts w:ascii="Noto Sans" w:eastAsia="Noto Sans" w:hAnsi="Noto Sans" w:cs="Noto Sans"/>
          <w:b/>
          <w:bCs/>
          <w:sz w:val="20"/>
          <w:szCs w:val="20"/>
        </w:rPr>
        <w:t>LINK</w:t>
      </w:r>
      <w:proofErr w:type="gramEnd"/>
      <w:r w:rsidRPr="006A12C5">
        <w:rPr>
          <w:rFonts w:ascii="Noto Sans" w:eastAsia="Noto Sans" w:hAnsi="Noto Sans" w:cs="Noto Sans"/>
          <w:b/>
          <w:bCs/>
          <w:sz w:val="20"/>
          <w:szCs w:val="20"/>
        </w:rPr>
        <w:t xml:space="preserve"> DE FOTOS</w:t>
      </w:r>
    </w:p>
    <w:p w14:paraId="50E5A72B" w14:textId="17327675" w:rsidR="006A12C5" w:rsidRPr="006A12C5" w:rsidRDefault="006A12C5" w:rsidP="006A12C5">
      <w:pPr>
        <w:ind w:right="49"/>
        <w:jc w:val="both"/>
        <w:rPr>
          <w:rFonts w:ascii="Noto Sans" w:eastAsia="Noto Sans" w:hAnsi="Noto Sans" w:cs="Noto Sans"/>
          <w:b/>
          <w:bCs/>
          <w:sz w:val="20"/>
          <w:szCs w:val="20"/>
        </w:rPr>
      </w:pPr>
      <w:hyperlink r:id="rId7" w:history="1">
        <w:r w:rsidRPr="00857209">
          <w:rPr>
            <w:rStyle w:val="Hipervnculo"/>
            <w:rFonts w:ascii="Noto Sans" w:eastAsia="Noto Sans" w:hAnsi="Noto Sans" w:cs="Noto Sans"/>
            <w:b/>
            <w:bCs/>
            <w:sz w:val="20"/>
            <w:szCs w:val="20"/>
          </w:rPr>
          <w:t>https://drive.google.com/drive/folders/1pUm3T5ADr4canztnZ8qpLyFBpMgN2CUo?usp=sharing</w:t>
        </w:r>
      </w:hyperlink>
      <w:r>
        <w:rPr>
          <w:rFonts w:ascii="Noto Sans" w:eastAsia="Noto Sans" w:hAnsi="Noto Sans" w:cs="Noto Sans"/>
          <w:b/>
          <w:bCs/>
          <w:sz w:val="20"/>
          <w:szCs w:val="20"/>
        </w:rPr>
        <w:t xml:space="preserve"> </w:t>
      </w:r>
    </w:p>
    <w:p w14:paraId="154AEB86" w14:textId="77777777" w:rsidR="006A12C5" w:rsidRPr="006A12C5" w:rsidRDefault="006A12C5" w:rsidP="006A12C5">
      <w:pPr>
        <w:ind w:right="49"/>
        <w:jc w:val="both"/>
        <w:rPr>
          <w:rFonts w:ascii="Noto Sans" w:eastAsia="Noto Sans" w:hAnsi="Noto Sans" w:cs="Noto Sans"/>
          <w:b/>
          <w:bCs/>
          <w:sz w:val="20"/>
          <w:szCs w:val="20"/>
        </w:rPr>
      </w:pPr>
    </w:p>
    <w:p w14:paraId="763A316B" w14:textId="63D022D5" w:rsidR="006A12C5" w:rsidRPr="006A12C5" w:rsidRDefault="006A12C5" w:rsidP="006A12C5">
      <w:pPr>
        <w:ind w:right="49"/>
        <w:jc w:val="both"/>
        <w:rPr>
          <w:rFonts w:ascii="Noto Sans" w:eastAsia="Noto Sans" w:hAnsi="Noto Sans" w:cs="Noto Sans"/>
          <w:b/>
          <w:bCs/>
          <w:sz w:val="20"/>
          <w:szCs w:val="20"/>
        </w:rPr>
      </w:pPr>
      <w:proofErr w:type="gramStart"/>
      <w:r w:rsidRPr="006A12C5">
        <w:rPr>
          <w:rFonts w:ascii="Noto Sans" w:eastAsia="Noto Sans" w:hAnsi="Noto Sans" w:cs="Noto Sans"/>
          <w:b/>
          <w:bCs/>
          <w:sz w:val="20"/>
          <w:szCs w:val="20"/>
        </w:rPr>
        <w:t>LINK</w:t>
      </w:r>
      <w:proofErr w:type="gramEnd"/>
      <w:r w:rsidRPr="006A12C5">
        <w:rPr>
          <w:rFonts w:ascii="Noto Sans" w:eastAsia="Noto Sans" w:hAnsi="Noto Sans" w:cs="Noto Sans"/>
          <w:b/>
          <w:bCs/>
          <w:sz w:val="20"/>
          <w:szCs w:val="20"/>
        </w:rPr>
        <w:t xml:space="preserve"> DE VIDEO</w:t>
      </w:r>
    </w:p>
    <w:p w14:paraId="21926D98" w14:textId="1A40D23C" w:rsidR="006A12C5" w:rsidRDefault="006A12C5" w:rsidP="006A12C5">
      <w:pPr>
        <w:ind w:right="49"/>
        <w:jc w:val="both"/>
        <w:rPr>
          <w:rFonts w:ascii="Noto Sans" w:eastAsia="Noto Sans" w:hAnsi="Noto Sans" w:cs="Noto Sans"/>
          <w:b/>
          <w:bCs/>
          <w:sz w:val="20"/>
          <w:szCs w:val="20"/>
        </w:rPr>
      </w:pPr>
      <w:hyperlink r:id="rId8" w:history="1">
        <w:r w:rsidRPr="00857209">
          <w:rPr>
            <w:rStyle w:val="Hipervnculo"/>
            <w:rFonts w:ascii="Noto Sans" w:eastAsia="Noto Sans" w:hAnsi="Noto Sans" w:cs="Noto Sans"/>
            <w:b/>
            <w:bCs/>
            <w:sz w:val="20"/>
            <w:szCs w:val="20"/>
          </w:rPr>
          <w:t>https://drive.google.com/file/d/1lRoecWDiebsKk1xYmcXl5l8qi01RCTXc/view?usp=sharing</w:t>
        </w:r>
      </w:hyperlink>
      <w:r>
        <w:rPr>
          <w:rFonts w:ascii="Noto Sans" w:eastAsia="Noto Sans" w:hAnsi="Noto Sans" w:cs="Noto Sans"/>
          <w:b/>
          <w:bCs/>
          <w:sz w:val="20"/>
          <w:szCs w:val="20"/>
        </w:rPr>
        <w:t xml:space="preserve"> </w:t>
      </w:r>
    </w:p>
    <w:p w14:paraId="1AEC7E61" w14:textId="77777777" w:rsidR="006A12C5" w:rsidRDefault="006A12C5">
      <w:pPr>
        <w:ind w:right="49"/>
        <w:jc w:val="both"/>
        <w:rPr>
          <w:rFonts w:ascii="Noto Sans" w:eastAsia="Noto Sans" w:hAnsi="Noto Sans" w:cs="Noto Sans"/>
          <w:b/>
          <w:bCs/>
          <w:sz w:val="20"/>
          <w:szCs w:val="20"/>
        </w:rPr>
      </w:pPr>
    </w:p>
    <w:sectPr w:rsidR="006A12C5">
      <w:headerReference w:type="default" r:id="rId9"/>
      <w:pgSz w:w="12240" w:h="15840"/>
      <w:pgMar w:top="2127" w:right="1077" w:bottom="156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4DE59" w14:textId="77777777" w:rsidR="00A63773" w:rsidRDefault="00A63773">
      <w:r>
        <w:separator/>
      </w:r>
    </w:p>
  </w:endnote>
  <w:endnote w:type="continuationSeparator" w:id="0">
    <w:p w14:paraId="4705F0B5" w14:textId="77777777" w:rsidR="00A63773" w:rsidRDefault="00A6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3978704-0735-4869-B001-8C74E3E2F36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embedRegular r:id="rId2" w:fontKey="{B2668D23-2D08-4F7C-AA1F-FA0C6BD11BD3}"/>
    <w:embedBold r:id="rId3" w:fontKey="{B0833E31-FC59-4A7A-B831-E396B9AF21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A9BEFB8-56B9-4028-B3D3-24C824B00877}"/>
  </w:font>
  <w:font w:name="Noto Sans">
    <w:altName w:val="Mangal"/>
    <w:charset w:val="00"/>
    <w:family w:val="swiss"/>
    <w:pitch w:val="variable"/>
    <w:sig w:usb0="E00082FF" w:usb1="400078FF" w:usb2="00000021" w:usb3="00000000" w:csb0="0000019F" w:csb1="00000000"/>
    <w:embedRegular r:id="rId5" w:fontKey="{AD9F2F8F-9DF1-473B-9455-0AE520F76555}"/>
    <w:embedBold r:id="rId6" w:fontKey="{1ECC1CA3-14CF-4B3B-B121-52427809CF07}"/>
    <w:embedItalic r:id="rId7" w:fontKey="{FB202C72-99BF-4D33-99F0-5F20B94DDC42}"/>
  </w:font>
  <w:font w:name="Geom">
    <w:charset w:val="00"/>
    <w:family w:val="auto"/>
    <w:pitch w:val="default"/>
    <w:embedRegular r:id="rId8" w:fontKey="{08CC79BB-D575-48DB-AD47-F7FBB9B7B62E}"/>
  </w:font>
  <w:font w:name="Cambria">
    <w:panose1 w:val="02040503050406030204"/>
    <w:charset w:val="00"/>
    <w:family w:val="roman"/>
    <w:pitch w:val="variable"/>
    <w:sig w:usb0="E00006FF" w:usb1="420024FF" w:usb2="02000000" w:usb3="00000000" w:csb0="0000019F" w:csb1="00000000"/>
    <w:embedRegular r:id="rId9" w:fontKey="{40EA2B33-5568-4D23-9193-A6C7833A591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7B60C" w14:textId="77777777" w:rsidR="00A63773" w:rsidRDefault="00A63773">
      <w:r>
        <w:separator/>
      </w:r>
    </w:p>
  </w:footnote>
  <w:footnote w:type="continuationSeparator" w:id="0">
    <w:p w14:paraId="1FAA0673" w14:textId="77777777" w:rsidR="00A63773" w:rsidRDefault="00A6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7632" w14:textId="77777777" w:rsidR="004E262B" w:rsidRDefault="006A12C5">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33604294" wp14:editId="0EE6F40C">
          <wp:simplePos x="0" y="0"/>
          <wp:positionH relativeFrom="column">
            <wp:posOffset>-765809</wp:posOffset>
          </wp:positionH>
          <wp:positionV relativeFrom="paragraph">
            <wp:posOffset>-441324</wp:posOffset>
          </wp:positionV>
          <wp:extent cx="7800230" cy="1009405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0230" cy="10094052"/>
                  </a:xfrm>
                  <a:prstGeom prst="rect">
                    <a:avLst/>
                  </a:prstGeom>
                  <a:ln/>
                </pic:spPr>
              </pic:pic>
            </a:graphicData>
          </a:graphic>
        </wp:anchor>
      </w:drawing>
    </w:r>
  </w:p>
  <w:p w14:paraId="02CE3F99" w14:textId="77777777" w:rsidR="004E262B" w:rsidRDefault="004E262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F2DA5"/>
    <w:multiLevelType w:val="multilevel"/>
    <w:tmpl w:val="E2265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333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62B"/>
    <w:rsid w:val="00394242"/>
    <w:rsid w:val="004E262B"/>
    <w:rsid w:val="006A12C5"/>
    <w:rsid w:val="006E38E0"/>
    <w:rsid w:val="00A04CE2"/>
    <w:rsid w:val="00A63773"/>
    <w:rsid w:val="00A954C9"/>
    <w:rsid w:val="00CF3443"/>
    <w:rsid w:val="00DA1EF6"/>
    <w:rsid w:val="00F10E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E109"/>
  <w15:docId w15:val="{CAE032CB-D569-4117-947A-EE982A40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6A12C5"/>
    <w:rPr>
      <w:color w:val="0000FF" w:themeColor="hyperlink"/>
      <w:u w:val="single"/>
    </w:rPr>
  </w:style>
  <w:style w:type="character" w:styleId="Mencinsinresolver">
    <w:name w:val="Unresolved Mention"/>
    <w:basedOn w:val="Fuentedeprrafopredeter"/>
    <w:uiPriority w:val="99"/>
    <w:semiHidden/>
    <w:unhideWhenUsed/>
    <w:rsid w:val="006A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lRoecWDiebsKk1xYmcXl5l8qi01RCTXc/view?usp=sharing" TargetMode="External"/><Relationship Id="rId3" Type="http://schemas.openxmlformats.org/officeDocument/2006/relationships/settings" Target="settings.xml"/><Relationship Id="rId7" Type="http://schemas.openxmlformats.org/officeDocument/2006/relationships/hyperlink" Target="https://drive.google.com/drive/folders/1pUm3T5ADr4canztnZ8qpLyFBpMgN2CUo?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3914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Rogelio Alberto Ruiz Aleman</dc:creator>
  <cp:lastModifiedBy>Luz Maria Rico Jardon</cp:lastModifiedBy>
  <cp:revision>2</cp:revision>
  <dcterms:created xsi:type="dcterms:W3CDTF">2026-09-01T21:14:00Z</dcterms:created>
  <dcterms:modified xsi:type="dcterms:W3CDTF">2026-09-01T21:14:00Z</dcterms:modified>
</cp:coreProperties>
</file>