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0F129345" w:rsidR="00ED3A68" w:rsidRPr="00FA2FBF" w:rsidRDefault="00BF1DD2" w:rsidP="00C84602">
      <w:pPr>
        <w:adjustRightInd w:val="0"/>
        <w:snapToGrid w:val="0"/>
        <w:jc w:val="right"/>
        <w:rPr>
          <w:rFonts w:ascii="Montserrat Light" w:hAnsi="Montserrat Light" w:cs="Arial"/>
          <w:bCs/>
          <w:color w:val="000000" w:themeColor="text1"/>
        </w:rPr>
      </w:pPr>
      <w:r w:rsidRPr="00FA2FBF">
        <w:rPr>
          <w:rFonts w:ascii="Montserrat Light" w:hAnsi="Montserrat Light" w:cs="Arial"/>
          <w:bCs/>
          <w:color w:val="000000" w:themeColor="text1"/>
        </w:rPr>
        <w:t>Ciudad de México</w:t>
      </w:r>
      <w:r w:rsidR="00DC50B8" w:rsidRPr="00FA2FBF">
        <w:rPr>
          <w:rFonts w:ascii="Montserrat Light" w:hAnsi="Montserrat Light" w:cs="Arial"/>
          <w:bCs/>
          <w:color w:val="000000" w:themeColor="text1"/>
        </w:rPr>
        <w:t xml:space="preserve">, </w:t>
      </w:r>
      <w:r w:rsidR="00BB4D24">
        <w:rPr>
          <w:rFonts w:ascii="Montserrat Light" w:hAnsi="Montserrat Light" w:cs="Arial"/>
          <w:bCs/>
          <w:color w:val="000000" w:themeColor="text1"/>
        </w:rPr>
        <w:t>jueves 25</w:t>
      </w:r>
      <w:r w:rsidR="00BB3CF2" w:rsidRPr="00FA2FBF">
        <w:rPr>
          <w:rFonts w:ascii="Montserrat Light" w:hAnsi="Montserrat Light" w:cs="Arial"/>
          <w:bCs/>
          <w:color w:val="000000" w:themeColor="text1"/>
        </w:rPr>
        <w:t xml:space="preserve"> de agosto</w:t>
      </w:r>
      <w:r w:rsidR="00ED3A68" w:rsidRPr="00FA2FBF">
        <w:rPr>
          <w:rFonts w:ascii="Montserrat Light" w:hAnsi="Montserrat Light" w:cs="Arial"/>
          <w:bCs/>
          <w:color w:val="000000" w:themeColor="text1"/>
        </w:rPr>
        <w:t xml:space="preserve"> de 2022</w:t>
      </w:r>
    </w:p>
    <w:p w14:paraId="760DA718" w14:textId="78EE7567" w:rsidR="003F38B7" w:rsidRPr="00FA2FBF" w:rsidRDefault="003F38B7" w:rsidP="00C84602">
      <w:pPr>
        <w:jc w:val="right"/>
        <w:rPr>
          <w:rFonts w:ascii="Montserrat Light" w:hAnsi="Montserrat Light"/>
          <w:color w:val="000000" w:themeColor="text1"/>
        </w:rPr>
      </w:pPr>
      <w:r w:rsidRPr="00FA2FBF">
        <w:rPr>
          <w:rFonts w:ascii="Montserrat Light" w:hAnsi="Montserrat Light"/>
          <w:color w:val="000000" w:themeColor="text1"/>
        </w:rPr>
        <w:t xml:space="preserve">No. </w:t>
      </w:r>
      <w:r w:rsidR="006B44E2">
        <w:rPr>
          <w:rFonts w:ascii="Montserrat Light" w:hAnsi="Montserrat Light"/>
          <w:color w:val="000000" w:themeColor="text1"/>
        </w:rPr>
        <w:t>437</w:t>
      </w:r>
      <w:r w:rsidRPr="00FA2FBF">
        <w:rPr>
          <w:rFonts w:ascii="Montserrat Light" w:hAnsi="Montserrat Light"/>
          <w:color w:val="000000" w:themeColor="text1"/>
        </w:rPr>
        <w:t>/2022</w:t>
      </w:r>
    </w:p>
    <w:p w14:paraId="0134A583" w14:textId="77777777" w:rsidR="003F38B7" w:rsidRPr="00FA2FBF" w:rsidRDefault="003F38B7" w:rsidP="00C84602">
      <w:pPr>
        <w:adjustRightInd w:val="0"/>
        <w:snapToGrid w:val="0"/>
        <w:jc w:val="right"/>
        <w:rPr>
          <w:rFonts w:ascii="Montserrat Light" w:eastAsia="Montserrat" w:hAnsi="Montserrat Light" w:cs="Montserrat"/>
          <w:color w:val="000000" w:themeColor="text1"/>
        </w:rPr>
      </w:pPr>
    </w:p>
    <w:p w14:paraId="06EAED95" w14:textId="53ADA7DD" w:rsidR="00ED3A68" w:rsidRPr="00FA2FBF" w:rsidRDefault="004975B0" w:rsidP="00C84602">
      <w:pPr>
        <w:suppressAutoHyphens/>
        <w:jc w:val="center"/>
        <w:rPr>
          <w:rFonts w:ascii="Montserrat Light" w:hAnsi="Montserrat Light"/>
          <w:b/>
          <w:color w:val="000000" w:themeColor="text1"/>
          <w:sz w:val="32"/>
        </w:rPr>
      </w:pPr>
      <w:r w:rsidRPr="00FA2FBF">
        <w:rPr>
          <w:rFonts w:ascii="Montserrat Light" w:hAnsi="Montserrat Light"/>
          <w:b/>
          <w:color w:val="000000" w:themeColor="text1"/>
          <w:sz w:val="32"/>
        </w:rPr>
        <w:t>BOLETÍN DE PRENSA</w:t>
      </w:r>
    </w:p>
    <w:p w14:paraId="0B9956A3" w14:textId="77777777" w:rsidR="00BE1041" w:rsidRPr="00FA2FBF" w:rsidRDefault="00BE1041" w:rsidP="00C84602">
      <w:pPr>
        <w:suppressAutoHyphens/>
        <w:jc w:val="both"/>
        <w:rPr>
          <w:rFonts w:ascii="Montserrat Light" w:hAnsi="Montserrat Light"/>
          <w:b/>
          <w:color w:val="000000" w:themeColor="text1"/>
        </w:rPr>
      </w:pPr>
    </w:p>
    <w:p w14:paraId="4DF162C2" w14:textId="3CCAC9F4" w:rsidR="001751EC" w:rsidRDefault="00B86DA6" w:rsidP="003E05AB">
      <w:pPr>
        <w:jc w:val="center"/>
        <w:rPr>
          <w:rFonts w:ascii="Montserrat Light" w:hAnsi="Montserrat Light"/>
          <w:b/>
          <w:color w:val="000000" w:themeColor="text1"/>
          <w:sz w:val="28"/>
          <w:szCs w:val="28"/>
        </w:rPr>
      </w:pPr>
      <w:r>
        <w:rPr>
          <w:rFonts w:ascii="Montserrat Light" w:hAnsi="Montserrat Light"/>
          <w:b/>
          <w:color w:val="000000" w:themeColor="text1"/>
          <w:sz w:val="28"/>
          <w:szCs w:val="28"/>
        </w:rPr>
        <w:t xml:space="preserve">ONCOCREAN de Ciudad Obregón del </w:t>
      </w:r>
      <w:r w:rsidR="001751EC">
        <w:rPr>
          <w:rFonts w:ascii="Montserrat Light" w:hAnsi="Montserrat Light"/>
          <w:b/>
          <w:color w:val="000000" w:themeColor="text1"/>
          <w:sz w:val="28"/>
          <w:szCs w:val="28"/>
        </w:rPr>
        <w:t>IMSS</w:t>
      </w:r>
      <w:r>
        <w:rPr>
          <w:rFonts w:ascii="Montserrat Light" w:hAnsi="Montserrat Light"/>
          <w:b/>
          <w:color w:val="000000" w:themeColor="text1"/>
          <w:sz w:val="28"/>
          <w:szCs w:val="28"/>
        </w:rPr>
        <w:t xml:space="preserve"> se prepara para </w:t>
      </w:r>
      <w:r w:rsidR="005D63BB">
        <w:rPr>
          <w:rFonts w:ascii="Montserrat Light" w:hAnsi="Montserrat Light"/>
          <w:b/>
          <w:color w:val="000000" w:themeColor="text1"/>
          <w:sz w:val="28"/>
          <w:szCs w:val="28"/>
        </w:rPr>
        <w:t>convertirse en</w:t>
      </w:r>
      <w:r>
        <w:rPr>
          <w:rFonts w:ascii="Montserrat Light" w:hAnsi="Montserrat Light"/>
          <w:b/>
          <w:color w:val="000000" w:themeColor="text1"/>
          <w:sz w:val="28"/>
          <w:szCs w:val="28"/>
        </w:rPr>
        <w:t xml:space="preserve"> centro de referencia especializado</w:t>
      </w:r>
    </w:p>
    <w:p w14:paraId="40667D53" w14:textId="77777777" w:rsidR="001751EC" w:rsidRDefault="001751EC" w:rsidP="003E05AB">
      <w:pPr>
        <w:jc w:val="center"/>
        <w:rPr>
          <w:rFonts w:ascii="Montserrat Light" w:hAnsi="Montserrat Light"/>
          <w:b/>
          <w:color w:val="000000" w:themeColor="text1"/>
          <w:sz w:val="28"/>
          <w:szCs w:val="28"/>
        </w:rPr>
      </w:pPr>
    </w:p>
    <w:p w14:paraId="13F764E0" w14:textId="228FB8EB" w:rsidR="004A60E2" w:rsidRDefault="00E163FD" w:rsidP="00B86DA6">
      <w:pPr>
        <w:pStyle w:val="Prrafodelista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Montserrat Light" w:hAnsi="Montserrat Light"/>
          <w:b/>
          <w:color w:val="000000" w:themeColor="text1"/>
        </w:rPr>
      </w:pPr>
      <w:r>
        <w:rPr>
          <w:rFonts w:ascii="Montserrat Light" w:hAnsi="Montserrat Light"/>
          <w:b/>
          <w:color w:val="000000" w:themeColor="text1"/>
        </w:rPr>
        <w:t>E</w:t>
      </w:r>
      <w:r w:rsidR="00B86DA6">
        <w:rPr>
          <w:rFonts w:ascii="Montserrat Light" w:hAnsi="Montserrat Light"/>
          <w:b/>
          <w:color w:val="000000" w:themeColor="text1"/>
        </w:rPr>
        <w:t>ste Centro de Referencia Estatal</w:t>
      </w:r>
      <w:r w:rsidR="00B86DA6" w:rsidRPr="00B86DA6">
        <w:rPr>
          <w:rFonts w:ascii="Montserrat Light" w:hAnsi="Montserrat Light"/>
          <w:b/>
          <w:color w:val="000000" w:themeColor="text1"/>
        </w:rPr>
        <w:t xml:space="preserve"> para la Atención del Niño y de la Niña con Cáncer</w:t>
      </w:r>
      <w:r w:rsidR="00B86DA6">
        <w:rPr>
          <w:rFonts w:ascii="Montserrat Light" w:hAnsi="Montserrat Light"/>
          <w:b/>
          <w:color w:val="000000" w:themeColor="text1"/>
        </w:rPr>
        <w:t xml:space="preserve"> </w:t>
      </w:r>
      <w:r>
        <w:rPr>
          <w:rFonts w:ascii="Montserrat Light" w:hAnsi="Montserrat Light"/>
          <w:b/>
          <w:color w:val="000000" w:themeColor="text1"/>
        </w:rPr>
        <w:t xml:space="preserve">tiene una </w:t>
      </w:r>
      <w:r w:rsidR="00B86DA6">
        <w:rPr>
          <w:rFonts w:ascii="Montserrat Light" w:hAnsi="Montserrat Light"/>
          <w:b/>
          <w:color w:val="000000" w:themeColor="text1"/>
        </w:rPr>
        <w:t xml:space="preserve">alta incidencia de menores con </w:t>
      </w:r>
      <w:r w:rsidR="00BB4D24">
        <w:rPr>
          <w:rFonts w:ascii="Montserrat Light" w:hAnsi="Montserrat Light"/>
          <w:b/>
          <w:color w:val="000000" w:themeColor="text1"/>
        </w:rPr>
        <w:t xml:space="preserve">esta enfermedad </w:t>
      </w:r>
      <w:r w:rsidR="00B86DA6">
        <w:rPr>
          <w:rFonts w:ascii="Montserrat Light" w:hAnsi="Montserrat Light"/>
          <w:b/>
          <w:color w:val="000000" w:themeColor="text1"/>
        </w:rPr>
        <w:t>y la afluencia de pacientes de Baja California y Baja California Sur</w:t>
      </w:r>
      <w:r w:rsidR="005F6588" w:rsidRPr="00FA2FBF">
        <w:rPr>
          <w:rFonts w:ascii="Montserrat Light" w:hAnsi="Montserrat Light"/>
          <w:b/>
          <w:color w:val="000000" w:themeColor="text1"/>
        </w:rPr>
        <w:t>.</w:t>
      </w:r>
    </w:p>
    <w:p w14:paraId="33C0529E" w14:textId="7EB5E0AA" w:rsidR="00A43A99" w:rsidRDefault="00A43A99" w:rsidP="00B86DA6">
      <w:pPr>
        <w:pStyle w:val="Prrafodelista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Montserrat Light" w:hAnsi="Montserrat Light"/>
          <w:b/>
          <w:color w:val="000000" w:themeColor="text1"/>
        </w:rPr>
      </w:pPr>
      <w:r>
        <w:rPr>
          <w:rFonts w:ascii="Montserrat Light" w:hAnsi="Montserrat Light"/>
          <w:b/>
          <w:color w:val="000000" w:themeColor="text1"/>
        </w:rPr>
        <w:t>Más de 10 mil pacientes pediátricos y adultos han sido registrados en la Aplicación de Pacientes Oncológicos (APO)</w:t>
      </w:r>
      <w:r w:rsidR="00BB4D24">
        <w:rPr>
          <w:rFonts w:ascii="Montserrat Light" w:hAnsi="Montserrat Light"/>
          <w:b/>
          <w:color w:val="000000" w:themeColor="text1"/>
        </w:rPr>
        <w:t>.</w:t>
      </w:r>
      <w:r>
        <w:rPr>
          <w:rFonts w:ascii="Montserrat Light" w:hAnsi="Montserrat Light"/>
          <w:b/>
          <w:color w:val="000000" w:themeColor="text1"/>
        </w:rPr>
        <w:t xml:space="preserve"> </w:t>
      </w:r>
    </w:p>
    <w:p w14:paraId="0576DDA1" w14:textId="46C3520B" w:rsidR="001751EC" w:rsidRPr="00FA2FBF" w:rsidRDefault="001751EC" w:rsidP="001751EC">
      <w:pPr>
        <w:pStyle w:val="Prrafodelista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Montserrat Light" w:hAnsi="Montserrat Light"/>
          <w:b/>
          <w:color w:val="000000" w:themeColor="text1"/>
        </w:rPr>
      </w:pPr>
      <w:r w:rsidRPr="00FA2FBF">
        <w:rPr>
          <w:rFonts w:ascii="Montserrat Light" w:eastAsia="Times New Roman" w:hAnsi="Montserrat Light" w:cs="Times New Roman"/>
          <w:b/>
          <w:color w:val="000000" w:themeColor="text1"/>
          <w:lang w:eastAsia="es-MX"/>
        </w:rPr>
        <w:t xml:space="preserve">Se realizó la nonagésima </w:t>
      </w:r>
      <w:r>
        <w:rPr>
          <w:rFonts w:ascii="Montserrat Light" w:eastAsia="Times New Roman" w:hAnsi="Montserrat Light" w:cs="Times New Roman"/>
          <w:b/>
          <w:color w:val="000000" w:themeColor="text1"/>
          <w:lang w:eastAsia="es-MX"/>
        </w:rPr>
        <w:t>novena</w:t>
      </w:r>
      <w:r w:rsidRPr="00FA2FBF">
        <w:rPr>
          <w:rFonts w:ascii="Montserrat Light" w:eastAsia="Times New Roman" w:hAnsi="Montserrat Light" w:cs="Times New Roman"/>
          <w:b/>
          <w:color w:val="000000" w:themeColor="text1"/>
          <w:lang w:eastAsia="es-MX"/>
        </w:rPr>
        <w:t xml:space="preserve"> reunión entre autoridades del I</w:t>
      </w:r>
      <w:r w:rsidR="00BB4D24">
        <w:rPr>
          <w:rFonts w:ascii="Montserrat Light" w:eastAsia="Times New Roman" w:hAnsi="Montserrat Light" w:cs="Times New Roman"/>
          <w:b/>
          <w:color w:val="000000" w:themeColor="text1"/>
          <w:lang w:eastAsia="es-MX"/>
        </w:rPr>
        <w:t xml:space="preserve">MSS </w:t>
      </w:r>
      <w:r w:rsidRPr="00FA2FBF">
        <w:rPr>
          <w:rFonts w:ascii="Montserrat Light" w:eastAsia="Times New Roman" w:hAnsi="Montserrat Light" w:cs="Times New Roman"/>
          <w:b/>
          <w:color w:val="000000" w:themeColor="text1"/>
          <w:lang w:eastAsia="es-MX"/>
        </w:rPr>
        <w:t xml:space="preserve">con madres y padres de menores con cáncer. </w:t>
      </w:r>
    </w:p>
    <w:p w14:paraId="58F0C002" w14:textId="77777777" w:rsidR="005F6588" w:rsidRPr="00FA2FBF" w:rsidRDefault="005F6588" w:rsidP="00C84602">
      <w:pPr>
        <w:suppressAutoHyphens/>
        <w:jc w:val="both"/>
        <w:rPr>
          <w:rFonts w:ascii="Montserrat Light" w:hAnsi="Montserrat Light"/>
          <w:b/>
          <w:color w:val="000000" w:themeColor="text1"/>
        </w:rPr>
      </w:pPr>
    </w:p>
    <w:p w14:paraId="33A21CAF" w14:textId="21A3E89F" w:rsidR="00BB3CF2" w:rsidRPr="00B86DA6" w:rsidRDefault="00B86DA6" w:rsidP="00B86DA6">
      <w:pPr>
        <w:jc w:val="both"/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</w:pPr>
      <w:r w:rsidRPr="00B86DA6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>El Centro</w:t>
      </w:r>
      <w:r w:rsidR="00AD5DB2" w:rsidRPr="00B86DA6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 xml:space="preserve"> de Referencia Estatal para la Atención del Niño y de la Niña con Cáncer (ONCOCREAN)</w:t>
      </w:r>
      <w:r w:rsidRPr="00B86DA6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 xml:space="preserve"> de Ciudad Obregón, Sonora</w:t>
      </w:r>
      <w:r w:rsidR="00AD5DB2" w:rsidRPr="00B86DA6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 xml:space="preserve">, </w:t>
      </w:r>
      <w:r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>se ha fortalecido con infraestructura, personal, capacitación y equipamiento, a fin de conver</w:t>
      </w:r>
      <w:r w:rsidR="00D632B5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>tirse</w:t>
      </w:r>
      <w:r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 xml:space="preserve"> en </w:t>
      </w:r>
      <w:r w:rsidR="00BB4D24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>referente en el tratamiento de</w:t>
      </w:r>
      <w:r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 xml:space="preserve"> tumores de alta complejidad, dada la </w:t>
      </w:r>
      <w:r w:rsidR="00BB4D24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 xml:space="preserve">alta </w:t>
      </w:r>
      <w:r w:rsidRPr="00B86DA6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 xml:space="preserve">incidencia de </w:t>
      </w:r>
      <w:r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 xml:space="preserve">menores </w:t>
      </w:r>
      <w:r w:rsidRPr="00B86DA6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 xml:space="preserve">con cáncer en el noroccidente del país y la afluencia de pacientes de </w:t>
      </w:r>
      <w:r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>Baja California y Baja California Sur.</w:t>
      </w:r>
    </w:p>
    <w:p w14:paraId="1B02B792" w14:textId="77777777" w:rsidR="00B86DA6" w:rsidRDefault="00B86DA6" w:rsidP="001751EC">
      <w:pPr>
        <w:jc w:val="both"/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</w:pPr>
    </w:p>
    <w:p w14:paraId="3B8DE17D" w14:textId="4392BD48" w:rsidR="000E11D5" w:rsidRPr="00FA2FBF" w:rsidRDefault="00BB3CF2" w:rsidP="001751EC">
      <w:pPr>
        <w:jc w:val="both"/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</w:pPr>
      <w:r w:rsidRPr="00FA2FBF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 xml:space="preserve">Durante la nonagésima </w:t>
      </w:r>
      <w:r w:rsidR="001751EC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>novena</w:t>
      </w:r>
      <w:r w:rsidRPr="00FA2FBF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 xml:space="preserve"> reunión </w:t>
      </w:r>
      <w:r w:rsidR="00BB4D24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>entre autoridades del Instituto Mexicano del Seguro Social (IMSS) con madres y padres de pa</w:t>
      </w:r>
      <w:r w:rsidR="00054817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>cientes pediátricos oncológicos</w:t>
      </w:r>
      <w:r w:rsidRPr="00FA2FBF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>,</w:t>
      </w:r>
      <w:r w:rsidR="001751EC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 xml:space="preserve"> </w:t>
      </w:r>
      <w:r w:rsidR="00B86DA6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 xml:space="preserve">el doctor Enrique López Aguilar, titular de la Coordinación de Atención Oncológica, </w:t>
      </w:r>
      <w:r w:rsidR="00D632B5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 xml:space="preserve">destacó que este fortalecimiento permitirá reducir el número de referencias al Hospital de Pediatría del Centro Médico Nacional </w:t>
      </w:r>
      <w:r w:rsidR="00AE2691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 xml:space="preserve">(CMN) </w:t>
      </w:r>
      <w:r w:rsidR="00D632B5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>de Occidente de Guadalajara, Jalisco, y evitar la gran distancia que implica el traslado de las y los menores a esta entidad.</w:t>
      </w:r>
    </w:p>
    <w:p w14:paraId="072767CE" w14:textId="77777777" w:rsidR="000E11D5" w:rsidRDefault="000E11D5" w:rsidP="00A77B7F">
      <w:pPr>
        <w:jc w:val="both"/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</w:pPr>
    </w:p>
    <w:p w14:paraId="408ABE88" w14:textId="553BBB09" w:rsidR="00D632B5" w:rsidRDefault="00D632B5" w:rsidP="00A77B7F">
      <w:pPr>
        <w:jc w:val="both"/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</w:pPr>
      <w:r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>Explicó que el ONCOCREAN de Ciudad Obregón cuenta con tecnologías diagnóstica novedosa al ser el primero en utilizar terapia dirigida contra la leucemia de células T, y</w:t>
      </w:r>
      <w:r w:rsidR="00AE2691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 xml:space="preserve"> para contar con diagnósticos más precisos y oportunos</w:t>
      </w:r>
      <w:r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 xml:space="preserve"> realiza el envío de muestras de inmunofenotipo y de enfermedad mínima residual al Centro de Investigación Biomédica del IMSS, así como de estudios PET al Hos</w:t>
      </w:r>
      <w:r w:rsidR="00AE2691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>pital Infantil Teletón</w:t>
      </w:r>
      <w:r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>.</w:t>
      </w:r>
    </w:p>
    <w:p w14:paraId="45D1939C" w14:textId="77777777" w:rsidR="00D632B5" w:rsidRDefault="00D632B5" w:rsidP="00A77B7F">
      <w:pPr>
        <w:jc w:val="both"/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</w:pPr>
    </w:p>
    <w:p w14:paraId="141890F4" w14:textId="4B27E26F" w:rsidR="00D632B5" w:rsidRDefault="00D632B5" w:rsidP="00A77B7F">
      <w:pPr>
        <w:jc w:val="both"/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</w:pPr>
      <w:r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>El doctor López Aguilar destacó que este Centro de Referencia, ubicado dentro del Hospital General Regional No. 1 de Ciudad Obregón, recibe 68 casos nuevos en promedio al año, así como 175 casos derivados de Baja California y Baja California Sur.</w:t>
      </w:r>
    </w:p>
    <w:p w14:paraId="0D7DACD9" w14:textId="77777777" w:rsidR="00D632B5" w:rsidRDefault="00D632B5" w:rsidP="00A77B7F">
      <w:pPr>
        <w:jc w:val="both"/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</w:pPr>
    </w:p>
    <w:p w14:paraId="7888EBC5" w14:textId="6CA91322" w:rsidR="007C7276" w:rsidRDefault="007C7276" w:rsidP="00A77B7F">
      <w:pPr>
        <w:jc w:val="both"/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</w:pPr>
      <w:r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 xml:space="preserve">Señaló que se han adecuado más y mejores espacios para la atención de niñas y niños; el personal recibe capacitación continua en las estrategias de Hora Dorada a 12 médicas y médicos, y en la Escala de Valoración de Alerta Temprana (EVAT) a 151 </w:t>
      </w:r>
      <w:r w:rsidR="000A2F30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>enfermeras y enfermeros; también se lleva a cabo un curso intensivo por un mes al personal de Enfermería en cuidado de accesos vasculares centrales y periféricos.</w:t>
      </w:r>
    </w:p>
    <w:p w14:paraId="65C90A9D" w14:textId="77777777" w:rsidR="000A2F30" w:rsidRDefault="000A2F30" w:rsidP="00A77B7F">
      <w:pPr>
        <w:jc w:val="both"/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</w:pPr>
    </w:p>
    <w:p w14:paraId="2D4FE0FC" w14:textId="4F3E8C42" w:rsidR="000A2F30" w:rsidRDefault="000A2F30" w:rsidP="00A77B7F">
      <w:pPr>
        <w:jc w:val="both"/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</w:pPr>
      <w:r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 xml:space="preserve">El coordinador de Atención Oncológica enfatizó que el ONCOCREAN de Ciudad Obregón ha logrado un cien por ciento de oportunidad diagnóstica en menos de siete días y de 78 por ciento en el inicio de tratamiento </w:t>
      </w:r>
      <w:r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lastRenderedPageBreak/>
        <w:t>en menos de tres días; se cuenta con 14 camas, 10 médicos familiares y 22 de Enfermería para la atención de las niñas y niños, así como un mecanismo para asegurar la entrega oportuna de medicamentos.</w:t>
      </w:r>
    </w:p>
    <w:p w14:paraId="6A6D165D" w14:textId="77777777" w:rsidR="000A2F30" w:rsidRDefault="000A2F30" w:rsidP="00A77B7F">
      <w:pPr>
        <w:jc w:val="both"/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</w:pPr>
    </w:p>
    <w:p w14:paraId="34BB6679" w14:textId="459B9056" w:rsidR="000A2F30" w:rsidRDefault="000A2F30" w:rsidP="006E36C0">
      <w:pPr>
        <w:jc w:val="both"/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</w:pPr>
      <w:r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>En otro tema</w:t>
      </w:r>
      <w:r w:rsidR="00A06238" w:rsidRPr="00FA2FBF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 xml:space="preserve">, </w:t>
      </w:r>
      <w:r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 xml:space="preserve">Karina del Rocío Sarmiento, coordinadora técnica de Planeación de Abasto, </w:t>
      </w:r>
      <w:r w:rsidR="00AD5DB2" w:rsidRPr="00FA2FBF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>informó que</w:t>
      </w:r>
      <w:r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 xml:space="preserve"> 90 claves de medicamentos tienen un abasto mayor a dos meses, con un inventario total de 2.6 millones de piezas, y 13 claves cuentan con un abasto mayor a un mes y menor a dos meses, que equivale a 166 mil piezas.</w:t>
      </w:r>
    </w:p>
    <w:p w14:paraId="691454CE" w14:textId="77777777" w:rsidR="000A2F30" w:rsidRDefault="000A2F30" w:rsidP="006E36C0">
      <w:pPr>
        <w:jc w:val="both"/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</w:pPr>
    </w:p>
    <w:p w14:paraId="3CC85016" w14:textId="604A2E65" w:rsidR="00A43A99" w:rsidRDefault="00A43A99" w:rsidP="006E36C0">
      <w:pPr>
        <w:jc w:val="both"/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</w:pPr>
      <w:r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 xml:space="preserve">Por su parte, </w:t>
      </w:r>
      <w:r w:rsidRPr="00A43A99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>Isaac</w:t>
      </w:r>
      <w:r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 xml:space="preserve"> Mejía Montes de Oca, jefe de la División de Servicios Digitales y de Información para el Cuidado Digital de la Salud, </w:t>
      </w:r>
      <w:r w:rsidR="00054817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>resaltó</w:t>
      </w:r>
      <w:r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 xml:space="preserve"> que se cuenta con 10 mil 143 registros en la Aplicación de Pacientes Oncológicos (APO), de los cuales 40 por ciento son pacientes pediátricos y 60 por ciento adultos, que son atendidos en 15 Unidades Médicas de Alta Especialidad (UMAE) y 48 hospitales de Segundo Nivel; mediante esta aplicación se lleva un registro digital de tratamientos y quimioterapias.</w:t>
      </w:r>
    </w:p>
    <w:p w14:paraId="2F1C7442" w14:textId="77777777" w:rsidR="000A2F30" w:rsidRPr="00FA2FBF" w:rsidRDefault="000A2F30" w:rsidP="00C84602">
      <w:pPr>
        <w:jc w:val="both"/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</w:pPr>
    </w:p>
    <w:p w14:paraId="532C1782" w14:textId="70DF4473" w:rsidR="00AE2691" w:rsidRDefault="00BB3CF2" w:rsidP="00C84602">
      <w:pPr>
        <w:jc w:val="both"/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</w:pPr>
      <w:r w:rsidRPr="007F60C9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>Durante la 9</w:t>
      </w:r>
      <w:r w:rsidR="007F60C9" w:rsidRPr="007F60C9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>9</w:t>
      </w:r>
      <w:r w:rsidR="005F6588" w:rsidRPr="007F60C9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>° reunión de trabajo</w:t>
      </w:r>
      <w:r w:rsidR="00AE2691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 xml:space="preserve">, que fue encabezada por </w:t>
      </w:r>
      <w:r w:rsidR="00AE2691" w:rsidRPr="00AE2691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>la directora de Prestaciones Médicas del IMSS, doctora Célida Duque Molina,</w:t>
      </w:r>
      <w:r w:rsidR="00AE2691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 xml:space="preserve"> </w:t>
      </w:r>
      <w:r w:rsidR="007F60C9" w:rsidRPr="007F60C9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>se abordaron temas de seguimiento de reportes en el Hospital General Regional (HGR) No. 2 El Marqués, Querétaro; de la atención a pacientes en el ONCOCREAN de Tamaulipas,</w:t>
      </w:r>
      <w:r w:rsidR="00054817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 xml:space="preserve"> y</w:t>
      </w:r>
      <w:r w:rsidR="007F60C9" w:rsidRPr="007F60C9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 xml:space="preserve"> sobre la donación de aféresis plaquetarias en el Hospital General de Zona (HGZ) No. 1 de Aguascalientes</w:t>
      </w:r>
      <w:r w:rsidR="00AE2691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>.</w:t>
      </w:r>
    </w:p>
    <w:p w14:paraId="492A29A3" w14:textId="77777777" w:rsidR="00AE2691" w:rsidRDefault="00AE2691" w:rsidP="00C84602">
      <w:pPr>
        <w:jc w:val="both"/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</w:pPr>
    </w:p>
    <w:p w14:paraId="70D06CBD" w14:textId="60213AA9" w:rsidR="00BB3CF2" w:rsidRPr="007F60C9" w:rsidRDefault="00AE2691" w:rsidP="00C84602">
      <w:pPr>
        <w:jc w:val="both"/>
        <w:rPr>
          <w:rFonts w:ascii="Montserrat Light" w:eastAsia="Times New Roman" w:hAnsi="Montserrat Light" w:cs="Times New Roman"/>
          <w:b/>
          <w:i/>
          <w:color w:val="000000" w:themeColor="text1"/>
          <w:sz w:val="22"/>
          <w:szCs w:val="22"/>
          <w:lang w:val="es-MX" w:eastAsia="es-MX"/>
        </w:rPr>
      </w:pPr>
      <w:r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>S</w:t>
      </w:r>
      <w:r w:rsidR="005F6588" w:rsidRPr="007F60C9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>e acordó</w:t>
      </w:r>
      <w:r w:rsidR="003C2DD3" w:rsidRPr="007F60C9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>, entre otros puntos</w:t>
      </w:r>
      <w:r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>, dar seguimiento al reporte sobre la entrega y aplicación del medicamento Metrotexate en pacientes de mantenimiento atendidos en Aguascalientes; seguimiento al caso de paciente con prueba COVID-19 y cita médica; a la solicitud para la asignación de médico hematólogo en trasplantes del Hospital General del CMN La Raza; y que el personal de servicios médicos difunda información para la atención de pacientes oncológicos mayores de 16 años.</w:t>
      </w:r>
    </w:p>
    <w:p w14:paraId="5F916B14" w14:textId="77777777" w:rsidR="00C84602" w:rsidRPr="00FA2FBF" w:rsidRDefault="00C84602" w:rsidP="00C84602">
      <w:pPr>
        <w:jc w:val="both"/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</w:pPr>
    </w:p>
    <w:p w14:paraId="02176435" w14:textId="03A32504" w:rsidR="00AE2691" w:rsidRPr="00AE2691" w:rsidRDefault="00AE2691" w:rsidP="00AE2691">
      <w:pPr>
        <w:jc w:val="both"/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</w:pPr>
      <w:r w:rsidRPr="00AE2691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>Asistieron por parte del IMSS, Borsalino González Andrade, director de Administración; doctor Carlos Quezada Sánchez, jefe de Oficina de Control; Carlos Fredy Cuevas García, coordinador de Unidades de Médicas de Alta Especialidad; doctor Saúl Armando Herrera Belmares, jefe del Área de Vinculación; Jorge de Anda García, titular de la Coordinación de Abasto de la Dirección de Administración; Karina del Rocío Sarmiento Castellanos, coordinadora Técnica de Planeación del Abasto; José Luis Velasco, titular de la División de Supervisión y Control de Abasto.</w:t>
      </w:r>
    </w:p>
    <w:p w14:paraId="566BE612" w14:textId="77777777" w:rsidR="00AE2691" w:rsidRPr="00AE2691" w:rsidRDefault="00AE2691" w:rsidP="00AE2691">
      <w:pPr>
        <w:jc w:val="both"/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</w:pPr>
    </w:p>
    <w:p w14:paraId="04662FD0" w14:textId="77777777" w:rsidR="00AE2691" w:rsidRPr="00AE2691" w:rsidRDefault="00AE2691" w:rsidP="00AE2691">
      <w:pPr>
        <w:jc w:val="both"/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</w:pPr>
      <w:r w:rsidRPr="00AE2691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>Además, Marcela Velázquez Bolio, coordinadora de Operación con la Sociedad Civil y Organismos Autónomos; César Adrián Pecina Ramiro, jefe de Área de la División de Supervisión y Control de Abasto; Óscar Reyes Miguel, coordinador de Servicios Digitales y de Información para la Salud y Administrativos; Isaac Mejía Montes de Oca, jefe de la División de Servicios Digitales y de Información para el Cuidado Digital de la Salud, Shadai Sánchez Osorio, coordinador de Contabilidad y Trámite de Erogaciones.</w:t>
      </w:r>
    </w:p>
    <w:p w14:paraId="5F44FEED" w14:textId="77777777" w:rsidR="00AE2691" w:rsidRPr="00AE2691" w:rsidRDefault="00AE2691" w:rsidP="00AE2691">
      <w:pPr>
        <w:jc w:val="both"/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</w:pPr>
    </w:p>
    <w:p w14:paraId="74F4A50F" w14:textId="77777777" w:rsidR="00AE2691" w:rsidRPr="00AE2691" w:rsidRDefault="00AE2691" w:rsidP="00AE2691">
      <w:pPr>
        <w:jc w:val="both"/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</w:pPr>
      <w:r w:rsidRPr="00AE2691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>El doctor Guillermo Careaga Reyna, director del Hospital General del Centro Médico Nacional La Raza; la doctora Fátima Borrego Pérez, jefa de Servicios de Prestaciones Médicas de la OOAD Baja California; el doctor Efraín Luna Barrios, encargado de la jefatura de Servicios de Prestaciones Médicas OOAD San Luis Potosí; el doctor José Álvaro Parra Salazar, director médico del Hospital de Especialidades de Puebla; el doctor José de Jesús Chávez Martínez, jefe de Servicios de Prestaciones Médicas del OOAD Aguascalientes; el doctor Epigmenio Reguera Galindo, encargado de la jefatura de Servicios de Prestaciones Médicas del OOAD Tamaulipas, entre otros.</w:t>
      </w:r>
    </w:p>
    <w:p w14:paraId="686D1DEB" w14:textId="77777777" w:rsidR="00AE2691" w:rsidRPr="00AE2691" w:rsidRDefault="00AE2691" w:rsidP="00AE2691">
      <w:pPr>
        <w:jc w:val="both"/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</w:pPr>
    </w:p>
    <w:p w14:paraId="195E4A09" w14:textId="51B6BE0F" w:rsidR="00E80CF2" w:rsidRDefault="00AE2691" w:rsidP="00AE2691">
      <w:pPr>
        <w:jc w:val="both"/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</w:pPr>
      <w:r w:rsidRPr="00AE2691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 xml:space="preserve">Por parte de padres de pacientes pediátricos oncológicos, </w:t>
      </w:r>
      <w:r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 xml:space="preserve">hicieron uso de la palabra las señoras </w:t>
      </w:r>
      <w:r w:rsidRPr="00AE2691">
        <w:rPr>
          <w:rFonts w:ascii="Montserrat Light" w:eastAsia="Times New Roman" w:hAnsi="Montserrat Light" w:cs="Times New Roman"/>
          <w:color w:val="000000" w:themeColor="text1"/>
          <w:sz w:val="22"/>
          <w:szCs w:val="22"/>
          <w:lang w:val="es-MX" w:eastAsia="es-MX"/>
        </w:rPr>
        <w:t>Dulce, Adriana, Blanca, Brenda, Deysi y Yeni.</w:t>
      </w:r>
    </w:p>
    <w:p w14:paraId="6AA635FD" w14:textId="77777777" w:rsidR="00AE2691" w:rsidRPr="00FA2FBF" w:rsidRDefault="00AE2691" w:rsidP="00AE2691">
      <w:pPr>
        <w:jc w:val="both"/>
        <w:rPr>
          <w:rFonts w:ascii="Montserrat Light" w:eastAsia="Times New Roman" w:hAnsi="Montserrat Light" w:cs="Times New Roman"/>
          <w:color w:val="000000" w:themeColor="text1"/>
          <w:lang w:val="es-MX" w:eastAsia="es-MX"/>
        </w:rPr>
      </w:pPr>
    </w:p>
    <w:p w14:paraId="7E6AB2A7" w14:textId="5E6FCEED" w:rsidR="0085739C" w:rsidRPr="00E80CF2" w:rsidRDefault="00E80CF2" w:rsidP="00E80CF2">
      <w:pPr>
        <w:jc w:val="center"/>
        <w:rPr>
          <w:rFonts w:ascii="Montserrat Light" w:eastAsia="Times New Roman" w:hAnsi="Montserrat Light" w:cs="Times New Roman"/>
          <w:color w:val="000000" w:themeColor="text1"/>
          <w:lang w:val="es-MX" w:eastAsia="es-MX"/>
        </w:rPr>
      </w:pPr>
      <w:r w:rsidRPr="00FA2FBF">
        <w:rPr>
          <w:rFonts w:ascii="Montserrat Light" w:eastAsia="Times New Roman" w:hAnsi="Montserrat Light" w:cs="Times New Roman"/>
          <w:color w:val="000000" w:themeColor="text1"/>
          <w:lang w:val="es-MX" w:eastAsia="es-MX"/>
        </w:rPr>
        <w:t>---</w:t>
      </w:r>
      <w:r w:rsidR="00ED3A68" w:rsidRPr="00FA2FBF">
        <w:rPr>
          <w:rFonts w:ascii="Montserrat Light" w:hAnsi="Montserrat Light"/>
          <w:b/>
          <w:color w:val="000000" w:themeColor="text1"/>
          <w:sz w:val="22"/>
          <w:szCs w:val="22"/>
        </w:rPr>
        <w:t>o0o</w:t>
      </w:r>
      <w:r w:rsidRPr="00FA2FBF">
        <w:rPr>
          <w:rFonts w:ascii="Montserrat Light" w:hAnsi="Montserrat Light"/>
          <w:b/>
          <w:color w:val="000000" w:themeColor="text1"/>
          <w:sz w:val="22"/>
          <w:szCs w:val="22"/>
        </w:rPr>
        <w:t>---</w:t>
      </w:r>
    </w:p>
    <w:sectPr w:rsidR="0085739C" w:rsidRPr="00E80CF2" w:rsidSect="000A2F30">
      <w:headerReference w:type="default" r:id="rId11"/>
      <w:footerReference w:type="default" r:id="rId12"/>
      <w:pgSz w:w="12240" w:h="15840"/>
      <w:pgMar w:top="2127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58FE" w14:textId="77777777" w:rsidR="005E67C6" w:rsidRDefault="005E67C6" w:rsidP="00984A99">
      <w:r>
        <w:separator/>
      </w:r>
    </w:p>
  </w:endnote>
  <w:endnote w:type="continuationSeparator" w:id="0">
    <w:p w14:paraId="4918F153" w14:textId="77777777" w:rsidR="005E67C6" w:rsidRDefault="005E67C6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DA94" w14:textId="77777777" w:rsidR="005E67C6" w:rsidRDefault="005E67C6" w:rsidP="00984A99">
      <w:r>
        <w:separator/>
      </w:r>
    </w:p>
  </w:footnote>
  <w:footnote w:type="continuationSeparator" w:id="0">
    <w:p w14:paraId="00A4EA8A" w14:textId="77777777" w:rsidR="005E67C6" w:rsidRDefault="005E67C6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AA98AF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36621">
    <w:abstractNumId w:val="6"/>
  </w:num>
  <w:num w:numId="2" w16cid:durableId="951206474">
    <w:abstractNumId w:val="0"/>
  </w:num>
  <w:num w:numId="3" w16cid:durableId="917665582">
    <w:abstractNumId w:val="1"/>
  </w:num>
  <w:num w:numId="4" w16cid:durableId="938879184">
    <w:abstractNumId w:val="3"/>
  </w:num>
  <w:num w:numId="5" w16cid:durableId="1932007299">
    <w:abstractNumId w:val="2"/>
  </w:num>
  <w:num w:numId="6" w16cid:durableId="224994893">
    <w:abstractNumId w:val="4"/>
  </w:num>
  <w:num w:numId="7" w16cid:durableId="2055544391">
    <w:abstractNumId w:val="5"/>
  </w:num>
  <w:num w:numId="8" w16cid:durableId="16934147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012F8"/>
    <w:rsid w:val="0000337A"/>
    <w:rsid w:val="00025794"/>
    <w:rsid w:val="00051E72"/>
    <w:rsid w:val="00054817"/>
    <w:rsid w:val="00092D3E"/>
    <w:rsid w:val="00097CDC"/>
    <w:rsid w:val="000A2F30"/>
    <w:rsid w:val="000B3AED"/>
    <w:rsid w:val="000D31E3"/>
    <w:rsid w:val="000E11D5"/>
    <w:rsid w:val="000E5224"/>
    <w:rsid w:val="00101B9E"/>
    <w:rsid w:val="00116297"/>
    <w:rsid w:val="00117072"/>
    <w:rsid w:val="0012351A"/>
    <w:rsid w:val="00134167"/>
    <w:rsid w:val="00136980"/>
    <w:rsid w:val="0014570E"/>
    <w:rsid w:val="00161B35"/>
    <w:rsid w:val="00170F07"/>
    <w:rsid w:val="00173F73"/>
    <w:rsid w:val="001751EC"/>
    <w:rsid w:val="0017773D"/>
    <w:rsid w:val="001B06E8"/>
    <w:rsid w:val="001C3BA0"/>
    <w:rsid w:val="001D45E6"/>
    <w:rsid w:val="001D6F19"/>
    <w:rsid w:val="001F64E1"/>
    <w:rsid w:val="002006A9"/>
    <w:rsid w:val="00201CC3"/>
    <w:rsid w:val="00211D21"/>
    <w:rsid w:val="00212B06"/>
    <w:rsid w:val="00213C3B"/>
    <w:rsid w:val="00253115"/>
    <w:rsid w:val="00264509"/>
    <w:rsid w:val="002C3119"/>
    <w:rsid w:val="002C41AA"/>
    <w:rsid w:val="00301A0E"/>
    <w:rsid w:val="00313CCC"/>
    <w:rsid w:val="00315AAC"/>
    <w:rsid w:val="00365F3B"/>
    <w:rsid w:val="003C2DD3"/>
    <w:rsid w:val="003D4A75"/>
    <w:rsid w:val="003D5417"/>
    <w:rsid w:val="003E05AB"/>
    <w:rsid w:val="003F38B7"/>
    <w:rsid w:val="003F50AB"/>
    <w:rsid w:val="00413094"/>
    <w:rsid w:val="00420FF2"/>
    <w:rsid w:val="00421AC3"/>
    <w:rsid w:val="00435A8D"/>
    <w:rsid w:val="00442F05"/>
    <w:rsid w:val="00447ADC"/>
    <w:rsid w:val="00467062"/>
    <w:rsid w:val="00492F1E"/>
    <w:rsid w:val="004975B0"/>
    <w:rsid w:val="004A4328"/>
    <w:rsid w:val="004A60E2"/>
    <w:rsid w:val="004B7266"/>
    <w:rsid w:val="004D5936"/>
    <w:rsid w:val="004F6150"/>
    <w:rsid w:val="005007CC"/>
    <w:rsid w:val="00506F34"/>
    <w:rsid w:val="00552D7F"/>
    <w:rsid w:val="00570363"/>
    <w:rsid w:val="005950B0"/>
    <w:rsid w:val="005C0E33"/>
    <w:rsid w:val="005D63BB"/>
    <w:rsid w:val="005E67C6"/>
    <w:rsid w:val="005F3A03"/>
    <w:rsid w:val="005F6588"/>
    <w:rsid w:val="005F731A"/>
    <w:rsid w:val="005F7946"/>
    <w:rsid w:val="00606BA6"/>
    <w:rsid w:val="00620721"/>
    <w:rsid w:val="006466D9"/>
    <w:rsid w:val="00661155"/>
    <w:rsid w:val="006922A2"/>
    <w:rsid w:val="006B44E2"/>
    <w:rsid w:val="006C2855"/>
    <w:rsid w:val="006E36C0"/>
    <w:rsid w:val="006F23E0"/>
    <w:rsid w:val="00700D78"/>
    <w:rsid w:val="00702B5D"/>
    <w:rsid w:val="00706951"/>
    <w:rsid w:val="00724E39"/>
    <w:rsid w:val="00740508"/>
    <w:rsid w:val="00740C39"/>
    <w:rsid w:val="0076798C"/>
    <w:rsid w:val="007734B4"/>
    <w:rsid w:val="007A5C1B"/>
    <w:rsid w:val="007B3E21"/>
    <w:rsid w:val="007C0A97"/>
    <w:rsid w:val="007C7276"/>
    <w:rsid w:val="007D137B"/>
    <w:rsid w:val="007D2784"/>
    <w:rsid w:val="007D391F"/>
    <w:rsid w:val="007F60C9"/>
    <w:rsid w:val="008276F2"/>
    <w:rsid w:val="00854545"/>
    <w:rsid w:val="0085739C"/>
    <w:rsid w:val="00891D1C"/>
    <w:rsid w:val="008A5F8D"/>
    <w:rsid w:val="008B0930"/>
    <w:rsid w:val="008B35F2"/>
    <w:rsid w:val="008C0E11"/>
    <w:rsid w:val="008C44F5"/>
    <w:rsid w:val="008D1BBB"/>
    <w:rsid w:val="008D2E21"/>
    <w:rsid w:val="008D5D41"/>
    <w:rsid w:val="008E072D"/>
    <w:rsid w:val="009075A9"/>
    <w:rsid w:val="00911725"/>
    <w:rsid w:val="009134E7"/>
    <w:rsid w:val="00922F1C"/>
    <w:rsid w:val="00934404"/>
    <w:rsid w:val="00976C62"/>
    <w:rsid w:val="00976F6C"/>
    <w:rsid w:val="00980DD3"/>
    <w:rsid w:val="00984A99"/>
    <w:rsid w:val="009865BF"/>
    <w:rsid w:val="009A2B42"/>
    <w:rsid w:val="009C5B21"/>
    <w:rsid w:val="009D0F24"/>
    <w:rsid w:val="009E5BAE"/>
    <w:rsid w:val="009F1919"/>
    <w:rsid w:val="009F7EDC"/>
    <w:rsid w:val="00A002DA"/>
    <w:rsid w:val="00A06238"/>
    <w:rsid w:val="00A24B0C"/>
    <w:rsid w:val="00A3322D"/>
    <w:rsid w:val="00A36835"/>
    <w:rsid w:val="00A42DA2"/>
    <w:rsid w:val="00A43A99"/>
    <w:rsid w:val="00A52495"/>
    <w:rsid w:val="00A52A2C"/>
    <w:rsid w:val="00A77B7F"/>
    <w:rsid w:val="00A91648"/>
    <w:rsid w:val="00A97A66"/>
    <w:rsid w:val="00AA406D"/>
    <w:rsid w:val="00AB091A"/>
    <w:rsid w:val="00AB347E"/>
    <w:rsid w:val="00AB43BB"/>
    <w:rsid w:val="00AC7465"/>
    <w:rsid w:val="00AD240D"/>
    <w:rsid w:val="00AD2EFA"/>
    <w:rsid w:val="00AD3302"/>
    <w:rsid w:val="00AD4702"/>
    <w:rsid w:val="00AD5DB2"/>
    <w:rsid w:val="00AE2691"/>
    <w:rsid w:val="00AF3D90"/>
    <w:rsid w:val="00B02A37"/>
    <w:rsid w:val="00B10905"/>
    <w:rsid w:val="00B229C1"/>
    <w:rsid w:val="00B26078"/>
    <w:rsid w:val="00B61D95"/>
    <w:rsid w:val="00B65B00"/>
    <w:rsid w:val="00B755A1"/>
    <w:rsid w:val="00B846C5"/>
    <w:rsid w:val="00B86DA6"/>
    <w:rsid w:val="00B96FEA"/>
    <w:rsid w:val="00BA0C5A"/>
    <w:rsid w:val="00BA322B"/>
    <w:rsid w:val="00BA3537"/>
    <w:rsid w:val="00BA6CB5"/>
    <w:rsid w:val="00BB3CF2"/>
    <w:rsid w:val="00BB4D24"/>
    <w:rsid w:val="00BC0602"/>
    <w:rsid w:val="00BC48BC"/>
    <w:rsid w:val="00BE1041"/>
    <w:rsid w:val="00BE7230"/>
    <w:rsid w:val="00BF19A3"/>
    <w:rsid w:val="00BF1BF1"/>
    <w:rsid w:val="00BF1DD2"/>
    <w:rsid w:val="00C02B9D"/>
    <w:rsid w:val="00C240CC"/>
    <w:rsid w:val="00C426C5"/>
    <w:rsid w:val="00C814E1"/>
    <w:rsid w:val="00C838AD"/>
    <w:rsid w:val="00C84602"/>
    <w:rsid w:val="00C92D58"/>
    <w:rsid w:val="00C96A31"/>
    <w:rsid w:val="00CA14A6"/>
    <w:rsid w:val="00CA7DF3"/>
    <w:rsid w:val="00CB1B61"/>
    <w:rsid w:val="00CB521D"/>
    <w:rsid w:val="00CC1EB4"/>
    <w:rsid w:val="00D24BEB"/>
    <w:rsid w:val="00D27E4C"/>
    <w:rsid w:val="00D44587"/>
    <w:rsid w:val="00D632B5"/>
    <w:rsid w:val="00DB2515"/>
    <w:rsid w:val="00DB75A7"/>
    <w:rsid w:val="00DC24D3"/>
    <w:rsid w:val="00DC50B8"/>
    <w:rsid w:val="00DD161D"/>
    <w:rsid w:val="00DD2F9F"/>
    <w:rsid w:val="00DE571C"/>
    <w:rsid w:val="00E163FD"/>
    <w:rsid w:val="00E16AFE"/>
    <w:rsid w:val="00E34385"/>
    <w:rsid w:val="00E40851"/>
    <w:rsid w:val="00E53148"/>
    <w:rsid w:val="00E5340A"/>
    <w:rsid w:val="00E80CF2"/>
    <w:rsid w:val="00E87CC7"/>
    <w:rsid w:val="00E93A57"/>
    <w:rsid w:val="00EA26AA"/>
    <w:rsid w:val="00EA4053"/>
    <w:rsid w:val="00EC4EF1"/>
    <w:rsid w:val="00ED190E"/>
    <w:rsid w:val="00ED3A68"/>
    <w:rsid w:val="00ED7D95"/>
    <w:rsid w:val="00F02900"/>
    <w:rsid w:val="00F2342F"/>
    <w:rsid w:val="00F44F3C"/>
    <w:rsid w:val="00F56A4A"/>
    <w:rsid w:val="00F6777B"/>
    <w:rsid w:val="00F962FC"/>
    <w:rsid w:val="00FA2FBF"/>
    <w:rsid w:val="00FC3196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F279F02"/>
  <w15:docId w15:val="{FB71660E-A363-4E82-A3B4-B9360653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30015-7952-49E5-BFB4-B8C1B28944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cp:lastPrinted>2021-12-30T22:06:00Z</cp:lastPrinted>
  <dcterms:created xsi:type="dcterms:W3CDTF">2022-08-25T15:23:00Z</dcterms:created>
  <dcterms:modified xsi:type="dcterms:W3CDTF">2022-08-25T15:23:00Z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