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3F64A311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700F70">
        <w:rPr>
          <w:rFonts w:ascii="Montserrat Light" w:hAnsi="Montserrat Light" w:cs="Arial"/>
          <w:bCs/>
        </w:rPr>
        <w:t>miércoles 20</w:t>
      </w:r>
      <w:r w:rsidR="00A1504F">
        <w:rPr>
          <w:rFonts w:ascii="Montserrat Light" w:hAnsi="Montserrat Light" w:cs="Arial"/>
          <w:bCs/>
        </w:rPr>
        <w:t xml:space="preserve"> </w:t>
      </w:r>
      <w:r w:rsidR="008D2E21">
        <w:rPr>
          <w:rFonts w:ascii="Montserrat Light" w:hAnsi="Montserrat Light" w:cs="Arial"/>
          <w:bCs/>
        </w:rPr>
        <w:t>de julio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4AA31528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A1504F">
        <w:rPr>
          <w:rFonts w:ascii="Montserrat Light" w:hAnsi="Montserrat Light"/>
          <w:color w:val="000000"/>
        </w:rPr>
        <w:t>3</w:t>
      </w:r>
      <w:r w:rsidR="00700F70">
        <w:rPr>
          <w:rFonts w:ascii="Montserrat Light" w:hAnsi="Montserrat Light"/>
          <w:color w:val="000000"/>
        </w:rPr>
        <w:t>65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4FCA365" w14:textId="5F394C3F" w:rsidR="00BE1041" w:rsidRPr="00700F70" w:rsidRDefault="00160138" w:rsidP="000E5224">
      <w:pPr>
        <w:jc w:val="center"/>
        <w:rPr>
          <w:rFonts w:ascii="Montserrat Light" w:hAnsi="Montserrat Light"/>
          <w:b/>
        </w:rPr>
      </w:pPr>
      <w:r w:rsidRPr="00700F70">
        <w:rPr>
          <w:rFonts w:ascii="Montserrat Light" w:hAnsi="Montserrat Light"/>
          <w:b/>
        </w:rPr>
        <w:t xml:space="preserve">Realiza IMSS casi </w:t>
      </w:r>
      <w:r w:rsidR="00C6497B" w:rsidRPr="00700F70">
        <w:rPr>
          <w:rFonts w:ascii="Montserrat Light" w:hAnsi="Montserrat Light"/>
          <w:b/>
        </w:rPr>
        <w:t>98</w:t>
      </w:r>
      <w:r w:rsidRPr="00700F70">
        <w:rPr>
          <w:rFonts w:ascii="Montserrat Light" w:hAnsi="Montserrat Light"/>
          <w:b/>
        </w:rPr>
        <w:t xml:space="preserve"> mil consultas, </w:t>
      </w:r>
      <w:r w:rsidR="00C6497B" w:rsidRPr="00700F70">
        <w:rPr>
          <w:rFonts w:ascii="Montserrat Light" w:hAnsi="Montserrat Light"/>
          <w:b/>
        </w:rPr>
        <w:t xml:space="preserve">55 mil 807 detecciones, </w:t>
      </w:r>
      <w:r w:rsidRPr="00700F70">
        <w:rPr>
          <w:rFonts w:ascii="Montserrat Light" w:hAnsi="Montserrat Light"/>
          <w:b/>
        </w:rPr>
        <w:t xml:space="preserve">2 mil </w:t>
      </w:r>
      <w:r w:rsidR="00C6497B" w:rsidRPr="00700F70">
        <w:rPr>
          <w:rFonts w:ascii="Montserrat Light" w:hAnsi="Montserrat Light"/>
          <w:b/>
        </w:rPr>
        <w:t>791</w:t>
      </w:r>
      <w:r w:rsidRPr="00700F70">
        <w:rPr>
          <w:rFonts w:ascii="Montserrat Light" w:hAnsi="Montserrat Light"/>
          <w:b/>
        </w:rPr>
        <w:t xml:space="preserve"> cirugías y 14 trasplantes durante la 9ª Jornada Nacional de Servicios Ordinarios</w:t>
      </w:r>
    </w:p>
    <w:p w14:paraId="0986D003" w14:textId="77777777" w:rsidR="004A60E2" w:rsidRPr="00001963" w:rsidRDefault="004A60E2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23C904A" w14:textId="7A307303" w:rsidR="00CB1B61" w:rsidRPr="00001963" w:rsidRDefault="00160138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001963">
        <w:rPr>
          <w:rFonts w:ascii="Montserrat Light" w:hAnsi="Montserrat Light"/>
          <w:b/>
          <w:bCs/>
        </w:rPr>
        <w:t>Durante las nueve jornadas el Instituto ha efectuado casi 1.4 millones de atenciones, entre consultas, cirugías, detecciones, auxiliares de diagnóstico y trasplantes.</w:t>
      </w:r>
    </w:p>
    <w:p w14:paraId="13F764E0" w14:textId="4E2B17F7" w:rsidR="004A60E2" w:rsidRPr="00001963" w:rsidRDefault="00160138" w:rsidP="00C0327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001963">
        <w:rPr>
          <w:rFonts w:ascii="Montserrat Light" w:hAnsi="Montserrat Light"/>
          <w:b/>
        </w:rPr>
        <w:t>Con estas acciones se fortalecen los servicios de salud del Seguro Social en sus 35 Representaciones en los estados y 25 Unidades Médicas de Alta Especialidad.</w:t>
      </w:r>
    </w:p>
    <w:p w14:paraId="3F187C22" w14:textId="77777777" w:rsidR="00BF1DD2" w:rsidRPr="00001963" w:rsidRDefault="00BF1DD2" w:rsidP="008E072D">
      <w:pPr>
        <w:suppressAutoHyphens/>
        <w:spacing w:line="240" w:lineRule="atLeast"/>
        <w:jc w:val="both"/>
        <w:rPr>
          <w:rFonts w:ascii="Montserrat Light" w:hAnsi="Montserrat Light"/>
          <w:b/>
          <w:lang w:val="es-MX"/>
        </w:rPr>
      </w:pPr>
    </w:p>
    <w:p w14:paraId="39775986" w14:textId="2D8DE520" w:rsidR="00160138" w:rsidRPr="00001963" w:rsidRDefault="00160138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Con el objetivo de incrementar el acceso a la atención de la salud y abatir el diferimiento que ha dejado la pandemia por COVID-19, e</w:t>
      </w:r>
      <w:r w:rsidR="008D2E21" w:rsidRPr="00001963">
        <w:rPr>
          <w:rFonts w:ascii="Montserrat Light" w:hAnsi="Montserrat Light"/>
          <w:szCs w:val="22"/>
        </w:rPr>
        <w:t>l Instituto Mexicano del Seguro Social (IMSS)</w:t>
      </w:r>
      <w:r w:rsidRPr="00001963">
        <w:rPr>
          <w:rFonts w:ascii="Montserrat Light" w:hAnsi="Montserrat Light"/>
          <w:szCs w:val="22"/>
        </w:rPr>
        <w:t xml:space="preserve"> llevó a cabo la 9ª Jornada Nacional de Continuidad de los Servicios de Salud, en la cual se efectuaron 75 mil 190 consultas de Medicina Familiar y 22 mil 582 de </w:t>
      </w:r>
      <w:r w:rsidR="00923A39" w:rsidRPr="00001963">
        <w:rPr>
          <w:rFonts w:ascii="Montserrat Light" w:hAnsi="Montserrat Light"/>
          <w:szCs w:val="22"/>
        </w:rPr>
        <w:t>E</w:t>
      </w:r>
      <w:r w:rsidRPr="00001963">
        <w:rPr>
          <w:rFonts w:ascii="Montserrat Light" w:hAnsi="Montserrat Light"/>
          <w:szCs w:val="22"/>
        </w:rPr>
        <w:t>specialidad, 2 mil 7</w:t>
      </w:r>
      <w:r w:rsidR="00C6497B" w:rsidRPr="00001963">
        <w:rPr>
          <w:rFonts w:ascii="Montserrat Light" w:hAnsi="Montserrat Light"/>
          <w:szCs w:val="22"/>
        </w:rPr>
        <w:t>91</w:t>
      </w:r>
      <w:r w:rsidRPr="00001963">
        <w:rPr>
          <w:rFonts w:ascii="Montserrat Light" w:hAnsi="Montserrat Light"/>
          <w:szCs w:val="22"/>
        </w:rPr>
        <w:t xml:space="preserve"> cirugías, 55 mil 807 detecciones, 4 mil 186 estudios auxiliares de diagnóstico y tratamiento, y 14 trasplantes.</w:t>
      </w:r>
    </w:p>
    <w:p w14:paraId="48727CF6" w14:textId="77777777" w:rsidR="00160138" w:rsidRPr="00001963" w:rsidRDefault="00160138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4AC8C263" w14:textId="58F2C24F" w:rsidR="00160138" w:rsidRPr="00001963" w:rsidRDefault="00923A39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Durante las nueve jornadas que el Instituto ha efectuado en sus 35 Representaciones en los estados y 25 Unidades Médicas de Alta Especialidad (UMAE), se han efectuado cerca de 1.4 millones de atenciones: 619 mil 893 consultas de Medicina Familiar y 196 mil 910 de Especialidad; 25 mil 469 intervenciones quirúrgicas, 503 mil detecciones de enfermedades crónicas, 44 mil 413 estudios y 165 trasplantes.</w:t>
      </w:r>
    </w:p>
    <w:p w14:paraId="4E8FD8BA" w14:textId="77777777" w:rsidR="00923A39" w:rsidRPr="00001963" w:rsidRDefault="00923A39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0D3F40E6" w14:textId="50141836" w:rsidR="00923A39" w:rsidRPr="00001963" w:rsidRDefault="00923A39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Con estas acciones</w:t>
      </w:r>
      <w:r w:rsidR="0007270E" w:rsidRPr="00001963">
        <w:rPr>
          <w:rFonts w:ascii="Montserrat Light" w:hAnsi="Montserrat Light"/>
          <w:szCs w:val="22"/>
        </w:rPr>
        <w:t xml:space="preserve"> complementarias</w:t>
      </w:r>
      <w:r w:rsidRPr="00001963">
        <w:rPr>
          <w:rFonts w:ascii="Montserrat Light" w:hAnsi="Montserrat Light"/>
          <w:szCs w:val="22"/>
        </w:rPr>
        <w:t xml:space="preserve">, se avanza </w:t>
      </w:r>
      <w:r w:rsidR="004312CD" w:rsidRPr="00001963">
        <w:rPr>
          <w:rFonts w:ascii="Montserrat Light" w:hAnsi="Montserrat Light"/>
          <w:szCs w:val="22"/>
        </w:rPr>
        <w:t>en el 58.4% de</w:t>
      </w:r>
      <w:r w:rsidRPr="00001963">
        <w:rPr>
          <w:rFonts w:ascii="Montserrat Light" w:hAnsi="Montserrat Light"/>
          <w:szCs w:val="22"/>
        </w:rPr>
        <w:t xml:space="preserve"> las metas establecidas en la continuidad de servicios prioritarios </w:t>
      </w:r>
      <w:r w:rsidR="004312CD" w:rsidRPr="00001963">
        <w:rPr>
          <w:rFonts w:ascii="Montserrat Light" w:hAnsi="Montserrat Light"/>
          <w:szCs w:val="22"/>
        </w:rPr>
        <w:t xml:space="preserve">frente al 53.8% esperado a la semana 28 del 2022 </w:t>
      </w:r>
      <w:r w:rsidRPr="00001963">
        <w:rPr>
          <w:rFonts w:ascii="Montserrat Light" w:hAnsi="Montserrat Light"/>
          <w:szCs w:val="22"/>
        </w:rPr>
        <w:t>y destaca la detección de hipertensión con un avance en la meta del 71.20 por ciento, Chequeo Anual PrevenIMSS (65.81 por ciento), detecciones de diabetes (64.09 por ciento)</w:t>
      </w:r>
      <w:r w:rsidR="0007270E" w:rsidRPr="00001963">
        <w:rPr>
          <w:rFonts w:ascii="Montserrat Light" w:hAnsi="Montserrat Light"/>
          <w:szCs w:val="22"/>
        </w:rPr>
        <w:t xml:space="preserve"> y de cáncer cérvico uterino (62.92 por ciento), así como en consultas de Medicina Familiar (58.2 por ciento) y egresos hospitalarios (56.67 por ciento), entre otros.</w:t>
      </w:r>
    </w:p>
    <w:p w14:paraId="2543B3FB" w14:textId="77777777" w:rsidR="0007270E" w:rsidRPr="00001963" w:rsidRDefault="0007270E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697DA8F1" w14:textId="2099A7D7" w:rsidR="0007270E" w:rsidRPr="00001963" w:rsidRDefault="0007270E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Para la 9ª Jornada Nacional de Continuidad de los Servicios de Salud, que se llevó a cabo del 15 al 17 de julio del presente año, cada Representación y UMAE priorizó la atención conforme las especialidades con diferimiento de Consulta Externa y Cirugía en Segundo y Tercer Nivel, así como las Acciones Preventivas Integradas y Consulta de Medicina Familiar en el Primer Nivel de Atención.</w:t>
      </w:r>
    </w:p>
    <w:p w14:paraId="067F36F5" w14:textId="77777777" w:rsidR="0007270E" w:rsidRPr="00001963" w:rsidRDefault="0007270E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596C08C7" w14:textId="35BBE64D" w:rsidR="0007270E" w:rsidRPr="00001963" w:rsidRDefault="0007270E" w:rsidP="0007270E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Las especialidades con mayor demanda son Cirugía, Medicina Interna, Pediatría, Ginecología, Traumatología y Ortopedia, y Urología</w:t>
      </w:r>
      <w:r w:rsidRPr="00001963">
        <w:t xml:space="preserve"> </w:t>
      </w:r>
      <w:r w:rsidRPr="00001963">
        <w:rPr>
          <w:rFonts w:ascii="Montserrat Light" w:hAnsi="Montserrat Light"/>
          <w:szCs w:val="22"/>
        </w:rPr>
        <w:t>en tanto que entre las atenciones quirúrgicas más solicitadas está Cirugía General, Traumatología y Ortopedia, Ginecología, Oftalmología, y Oncocirugía.</w:t>
      </w:r>
    </w:p>
    <w:p w14:paraId="5D43FB0B" w14:textId="77777777" w:rsidR="00160138" w:rsidRPr="00001963" w:rsidRDefault="00160138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60AFF2E4" w14:textId="1AE188BE" w:rsidR="00C717A5" w:rsidRPr="00001963" w:rsidRDefault="00C717A5" w:rsidP="00C717A5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lastRenderedPageBreak/>
        <w:t>Con el objetivo de beneficiar al mayor número de pacientes que requieren de un órgano o tejido, en esta Jornada se realizaron 14 trasplantes, de los cuales fueron seis de riñón, seis de córnea y dos de células hematopoyéticas.</w:t>
      </w:r>
    </w:p>
    <w:p w14:paraId="7F5349BA" w14:textId="77777777" w:rsidR="00C717A5" w:rsidRPr="00001963" w:rsidRDefault="00C717A5" w:rsidP="00C717A5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5905F050" w14:textId="20FEBC23" w:rsidR="00C717A5" w:rsidRPr="00001963" w:rsidRDefault="00C717A5" w:rsidP="00C717A5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Además, se concretaron seis donaciones cadavéricas de tejidos, en la UMAE Hospital General del Centro Médico Nacional (CMN) La Raza, UMAE Hospital de Traumatología y Ortopedia “Lomas Verdes”, Hospital General Regional (HGR) No. 1 Charo, Michoacán; Hospital General de Zona (HGZ) No. 3 Mazatlán, Sinaloa; HGZ No. 17 Monterrey, Nuevo León, y HGZ No. 68 Tulpetlac, Estado de México Oriente.</w:t>
      </w:r>
    </w:p>
    <w:p w14:paraId="39406167" w14:textId="77777777" w:rsidR="00C717A5" w:rsidRPr="00001963" w:rsidRDefault="00C717A5" w:rsidP="00C717A5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15BF8922" w14:textId="6BED4C56" w:rsidR="00C717A5" w:rsidRPr="00001963" w:rsidRDefault="00C717A5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En la Representación del IMSS en Querétaro se aperturó la Consulta Externa de Especialidades con la participación de tres hospitales y la Unidad Médica de Atención Ambulatoria, con especial atención en Oftalmología, Medicina Interna, Neumología, Reumatología, Otorrinolaringología y Cardiología; se priorizaron cirugías con mayor rezago quirúrgico y se otorgaron otros servicios para beneficiar a grupos vulnerables.</w:t>
      </w:r>
    </w:p>
    <w:p w14:paraId="5E688CC5" w14:textId="77777777" w:rsidR="00C717A5" w:rsidRPr="00001963" w:rsidRDefault="00C717A5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1990C6AC" w14:textId="2BF3142F" w:rsidR="00585827" w:rsidRPr="00001963" w:rsidRDefault="00585827" w:rsidP="00585827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 xml:space="preserve">En Nuevo León se realizaron Ferias de la Salud en las Unidades de Medicina Familiar (UMF) No. 26 y 30 con la programación de estudios </w:t>
      </w:r>
      <w:r w:rsidR="004312CD" w:rsidRPr="00001963">
        <w:rPr>
          <w:rFonts w:ascii="Montserrat Light" w:hAnsi="Montserrat Light"/>
          <w:szCs w:val="22"/>
        </w:rPr>
        <w:t>de mastografías</w:t>
      </w:r>
      <w:r w:rsidRPr="00001963">
        <w:rPr>
          <w:rFonts w:ascii="Montserrat Light" w:hAnsi="Montserrat Light"/>
          <w:szCs w:val="22"/>
        </w:rPr>
        <w:t>, detecciones de cáncer de mama, cáncer cervicouterino, hipertensión arterial, diabetes mellitus, salud bucal, obesidad y sobrepeso; además se otorgaron consultas y cirugías en diversas especialidades</w:t>
      </w:r>
    </w:p>
    <w:p w14:paraId="62228209" w14:textId="77777777" w:rsidR="00585827" w:rsidRPr="00001963" w:rsidRDefault="00585827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0996793B" w14:textId="4804B8B9" w:rsidR="00C717A5" w:rsidRDefault="00C717A5" w:rsidP="00C717A5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001963">
        <w:rPr>
          <w:rFonts w:ascii="Montserrat Light" w:hAnsi="Montserrat Light"/>
          <w:szCs w:val="22"/>
        </w:rPr>
        <w:t>En el Hospital de Especialidades del CMN La Raza se efectuaron 47 cirugías de las especialidades de Cirugía General, Cirugía Reconstructiva, Neurocirugía, Coloproctología, Urología, Cirugía Maxilofacial y Angiología; en Consulta Externa se proporcionaron 307 consultas de Especialidad y 362 estudios y/o procedimientos en Medicina Nuclear, Imagenología, Hemodinamia, Marcapasos y electrofisiología.</w:t>
      </w:r>
    </w:p>
    <w:p w14:paraId="6FFCA881" w14:textId="77777777" w:rsidR="00C717A5" w:rsidRPr="00160138" w:rsidRDefault="00C717A5" w:rsidP="008D2E2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7E6AB2A7" w14:textId="60213A95" w:rsidR="0085739C" w:rsidRPr="00EE6234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E6234">
        <w:rPr>
          <w:rFonts w:ascii="Montserrat Light" w:hAnsi="Montserrat Light"/>
          <w:b/>
          <w:sz w:val="22"/>
          <w:szCs w:val="22"/>
        </w:rPr>
        <w:t>---o0o---</w:t>
      </w:r>
    </w:p>
    <w:sectPr w:rsidR="0085739C" w:rsidRPr="00EE6234" w:rsidSect="00C717A5">
      <w:headerReference w:type="default" r:id="rId11"/>
      <w:footerReference w:type="default" r:id="rId12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79E9" w14:textId="77777777" w:rsidR="00F56F4E" w:rsidRDefault="00F56F4E" w:rsidP="00984A99">
      <w:r>
        <w:separator/>
      </w:r>
    </w:p>
  </w:endnote>
  <w:endnote w:type="continuationSeparator" w:id="0">
    <w:p w14:paraId="39577553" w14:textId="77777777" w:rsidR="00F56F4E" w:rsidRDefault="00F56F4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C5C6" w14:textId="77777777" w:rsidR="00F56F4E" w:rsidRDefault="00F56F4E" w:rsidP="00984A99">
      <w:r>
        <w:separator/>
      </w:r>
    </w:p>
  </w:footnote>
  <w:footnote w:type="continuationSeparator" w:id="0">
    <w:p w14:paraId="37D39265" w14:textId="77777777" w:rsidR="00F56F4E" w:rsidRDefault="00F56F4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37D50C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00715">
    <w:abstractNumId w:val="6"/>
  </w:num>
  <w:num w:numId="2" w16cid:durableId="709107907">
    <w:abstractNumId w:val="0"/>
  </w:num>
  <w:num w:numId="3" w16cid:durableId="135611542">
    <w:abstractNumId w:val="1"/>
  </w:num>
  <w:num w:numId="4" w16cid:durableId="183329244">
    <w:abstractNumId w:val="3"/>
  </w:num>
  <w:num w:numId="5" w16cid:durableId="1654988744">
    <w:abstractNumId w:val="2"/>
  </w:num>
  <w:num w:numId="6" w16cid:durableId="1429616278">
    <w:abstractNumId w:val="4"/>
  </w:num>
  <w:num w:numId="7" w16cid:durableId="682124986">
    <w:abstractNumId w:val="5"/>
  </w:num>
  <w:num w:numId="8" w16cid:durableId="2081904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1963"/>
    <w:rsid w:val="00025794"/>
    <w:rsid w:val="00051E72"/>
    <w:rsid w:val="0007270E"/>
    <w:rsid w:val="00092D3E"/>
    <w:rsid w:val="00097CDC"/>
    <w:rsid w:val="000B3AE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60138"/>
    <w:rsid w:val="00161B35"/>
    <w:rsid w:val="00170F07"/>
    <w:rsid w:val="00173F73"/>
    <w:rsid w:val="0017773D"/>
    <w:rsid w:val="001B06E8"/>
    <w:rsid w:val="001C3BA0"/>
    <w:rsid w:val="001D45E6"/>
    <w:rsid w:val="00201CC3"/>
    <w:rsid w:val="00211D21"/>
    <w:rsid w:val="00212B06"/>
    <w:rsid w:val="00213C3B"/>
    <w:rsid w:val="00253115"/>
    <w:rsid w:val="00264509"/>
    <w:rsid w:val="002B7350"/>
    <w:rsid w:val="002C3119"/>
    <w:rsid w:val="002C41AA"/>
    <w:rsid w:val="00301A0E"/>
    <w:rsid w:val="00313CCC"/>
    <w:rsid w:val="00315AAC"/>
    <w:rsid w:val="00330639"/>
    <w:rsid w:val="00365F3B"/>
    <w:rsid w:val="003D5417"/>
    <w:rsid w:val="003F1C19"/>
    <w:rsid w:val="003F38B7"/>
    <w:rsid w:val="003F50AB"/>
    <w:rsid w:val="00413094"/>
    <w:rsid w:val="00420FF2"/>
    <w:rsid w:val="00421AC3"/>
    <w:rsid w:val="004312CD"/>
    <w:rsid w:val="00442F05"/>
    <w:rsid w:val="00447ADC"/>
    <w:rsid w:val="00467062"/>
    <w:rsid w:val="00491B42"/>
    <w:rsid w:val="00492F1E"/>
    <w:rsid w:val="004975B0"/>
    <w:rsid w:val="004A4328"/>
    <w:rsid w:val="004A60E2"/>
    <w:rsid w:val="004B7266"/>
    <w:rsid w:val="004C27C0"/>
    <w:rsid w:val="004F6150"/>
    <w:rsid w:val="005007CC"/>
    <w:rsid w:val="00506F34"/>
    <w:rsid w:val="00552D7F"/>
    <w:rsid w:val="00570363"/>
    <w:rsid w:val="00585827"/>
    <w:rsid w:val="005950B0"/>
    <w:rsid w:val="005C0E33"/>
    <w:rsid w:val="005F3A03"/>
    <w:rsid w:val="005F6C20"/>
    <w:rsid w:val="005F7946"/>
    <w:rsid w:val="00606BA6"/>
    <w:rsid w:val="00620721"/>
    <w:rsid w:val="006922A2"/>
    <w:rsid w:val="006C2855"/>
    <w:rsid w:val="006F23E0"/>
    <w:rsid w:val="00700D78"/>
    <w:rsid w:val="00700F70"/>
    <w:rsid w:val="00706951"/>
    <w:rsid w:val="00724E39"/>
    <w:rsid w:val="00740508"/>
    <w:rsid w:val="00740C39"/>
    <w:rsid w:val="0076798C"/>
    <w:rsid w:val="007734B4"/>
    <w:rsid w:val="007A5C1B"/>
    <w:rsid w:val="007B3E21"/>
    <w:rsid w:val="007C0A97"/>
    <w:rsid w:val="007D137B"/>
    <w:rsid w:val="00854545"/>
    <w:rsid w:val="0085739C"/>
    <w:rsid w:val="008A5F8D"/>
    <w:rsid w:val="008B0930"/>
    <w:rsid w:val="008B35F2"/>
    <w:rsid w:val="008C0E11"/>
    <w:rsid w:val="008D1BBB"/>
    <w:rsid w:val="008D2E21"/>
    <w:rsid w:val="008E072D"/>
    <w:rsid w:val="009075A9"/>
    <w:rsid w:val="00911725"/>
    <w:rsid w:val="009134E7"/>
    <w:rsid w:val="00923A39"/>
    <w:rsid w:val="00934404"/>
    <w:rsid w:val="00976C62"/>
    <w:rsid w:val="00976F6C"/>
    <w:rsid w:val="00980DD3"/>
    <w:rsid w:val="00984A99"/>
    <w:rsid w:val="009A2B42"/>
    <w:rsid w:val="009C5B21"/>
    <w:rsid w:val="009D0F24"/>
    <w:rsid w:val="009F1919"/>
    <w:rsid w:val="009F7EDC"/>
    <w:rsid w:val="00A002DA"/>
    <w:rsid w:val="00A1504F"/>
    <w:rsid w:val="00A24B0C"/>
    <w:rsid w:val="00A3322D"/>
    <w:rsid w:val="00A36835"/>
    <w:rsid w:val="00A42DA2"/>
    <w:rsid w:val="00A52A2C"/>
    <w:rsid w:val="00A91648"/>
    <w:rsid w:val="00A97A66"/>
    <w:rsid w:val="00AA406D"/>
    <w:rsid w:val="00AB347E"/>
    <w:rsid w:val="00AB43BB"/>
    <w:rsid w:val="00AC4E6F"/>
    <w:rsid w:val="00AD2EFA"/>
    <w:rsid w:val="00AD3302"/>
    <w:rsid w:val="00AD4702"/>
    <w:rsid w:val="00AF3D90"/>
    <w:rsid w:val="00AF4361"/>
    <w:rsid w:val="00AF6478"/>
    <w:rsid w:val="00B02A37"/>
    <w:rsid w:val="00B10905"/>
    <w:rsid w:val="00B229C1"/>
    <w:rsid w:val="00B26078"/>
    <w:rsid w:val="00B755A1"/>
    <w:rsid w:val="00B846C5"/>
    <w:rsid w:val="00B96FEA"/>
    <w:rsid w:val="00BA0C5A"/>
    <w:rsid w:val="00BA322B"/>
    <w:rsid w:val="00BA3537"/>
    <w:rsid w:val="00BA6CB5"/>
    <w:rsid w:val="00BB13B5"/>
    <w:rsid w:val="00BC0602"/>
    <w:rsid w:val="00BC48BC"/>
    <w:rsid w:val="00BE1041"/>
    <w:rsid w:val="00BE7230"/>
    <w:rsid w:val="00BF19A3"/>
    <w:rsid w:val="00BF1BF1"/>
    <w:rsid w:val="00BF1DD2"/>
    <w:rsid w:val="00BF5761"/>
    <w:rsid w:val="00C02B9D"/>
    <w:rsid w:val="00C240CC"/>
    <w:rsid w:val="00C426C5"/>
    <w:rsid w:val="00C6497B"/>
    <w:rsid w:val="00C717A5"/>
    <w:rsid w:val="00C814E1"/>
    <w:rsid w:val="00C838AD"/>
    <w:rsid w:val="00C92D58"/>
    <w:rsid w:val="00C96A31"/>
    <w:rsid w:val="00CA14A6"/>
    <w:rsid w:val="00CB1B61"/>
    <w:rsid w:val="00CB521D"/>
    <w:rsid w:val="00CC1EB4"/>
    <w:rsid w:val="00D24BEB"/>
    <w:rsid w:val="00D27E4C"/>
    <w:rsid w:val="00D44587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81605"/>
    <w:rsid w:val="00E87CC7"/>
    <w:rsid w:val="00E93A57"/>
    <w:rsid w:val="00EA10E3"/>
    <w:rsid w:val="00EA26AA"/>
    <w:rsid w:val="00EA4053"/>
    <w:rsid w:val="00EC4EF1"/>
    <w:rsid w:val="00ED190E"/>
    <w:rsid w:val="00ED3A68"/>
    <w:rsid w:val="00ED7D95"/>
    <w:rsid w:val="00EE6234"/>
    <w:rsid w:val="00F02900"/>
    <w:rsid w:val="00F2342F"/>
    <w:rsid w:val="00F44F3C"/>
    <w:rsid w:val="00F56A4A"/>
    <w:rsid w:val="00F56F4E"/>
    <w:rsid w:val="00F6777B"/>
    <w:rsid w:val="00F962FC"/>
    <w:rsid w:val="00FC21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C87A048E-7B56-4F83-B1B5-5C389B8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02EBF-1553-43A9-809C-D58EB79E7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Luz Maria Rico Jardon</cp:lastModifiedBy>
  <cp:revision>2</cp:revision>
  <cp:lastPrinted>2022-07-12T14:39:00Z</cp:lastPrinted>
  <dcterms:created xsi:type="dcterms:W3CDTF">2022-07-20T14:53:00Z</dcterms:created>
  <dcterms:modified xsi:type="dcterms:W3CDTF">2022-07-20T14:53:00Z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