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29A" w14:textId="77777777" w:rsidR="000B21B4" w:rsidRPr="00B656CA" w:rsidRDefault="000B21B4" w:rsidP="000B21B4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  <w:r w:rsidRPr="00B656CA">
        <w:rPr>
          <w:rFonts w:ascii="Noto Sans" w:hAnsi="Noto Sans" w:cs="Noto Sans"/>
          <w:noProof/>
          <w:color w:val="000000" w:themeColor="text1"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B2A4A" wp14:editId="29623DF6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9A3E" w14:textId="77777777" w:rsidR="000B21B4" w:rsidRPr="004A271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AB90A39" w14:textId="4DA608C6" w:rsidR="000B21B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B656C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034D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mayo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CA1469" w14:textId="4479A3D0" w:rsidR="000B21B4" w:rsidRPr="004E0D31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A006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262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2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43DB9A3E" w14:textId="77777777" w:rsidR="000B21B4" w:rsidRPr="004A271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AB90A39" w14:textId="4DA608C6" w:rsidR="000B21B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B656C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034D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mayo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CA1469" w14:textId="4479A3D0" w:rsidR="000B21B4" w:rsidRPr="004E0D31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A006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262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56CA">
        <w:rPr>
          <w:rFonts w:ascii="Noto Sans" w:hAnsi="Noto Sans" w:cs="Noto Sans"/>
          <w:color w:val="000000" w:themeColor="text1"/>
          <w:sz w:val="21"/>
          <w:szCs w:val="21"/>
          <w:lang w:val="es-MX"/>
        </w:rPr>
        <w:t xml:space="preserve"> </w:t>
      </w:r>
    </w:p>
    <w:p w14:paraId="699F9291" w14:textId="77777777" w:rsidR="000B21B4" w:rsidRPr="00B656CA" w:rsidRDefault="000B21B4" w:rsidP="000B21B4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29C6B1FF" w14:textId="77777777" w:rsidR="000B21B4" w:rsidRPr="00B656CA" w:rsidRDefault="000B21B4" w:rsidP="000B21B4">
      <w:pPr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46A75E00" w14:textId="77777777" w:rsidR="000B21B4" w:rsidRPr="00B656CA" w:rsidRDefault="000B21B4" w:rsidP="000B21B4">
      <w:pPr>
        <w:jc w:val="center"/>
        <w:rPr>
          <w:rFonts w:ascii="Noto Sans" w:hAnsi="Noto Sans" w:cs="Noto Sans"/>
          <w:b/>
          <w:bCs/>
          <w:color w:val="000000" w:themeColor="text1"/>
          <w:sz w:val="32"/>
          <w:szCs w:val="32"/>
          <w:lang w:val="es-MX"/>
        </w:rPr>
      </w:pPr>
    </w:p>
    <w:p w14:paraId="0332E8E7" w14:textId="0C648DED" w:rsidR="000B21B4" w:rsidRPr="00B656CA" w:rsidRDefault="00677F71" w:rsidP="00324109">
      <w:pPr>
        <w:jc w:val="center"/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</w:pPr>
      <w:r w:rsidRPr="00B656CA"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  <w:t xml:space="preserve">IMSS impulsa el liderazgo y la profesionalización del personal de </w:t>
      </w:r>
      <w:r w:rsidR="00F747E8" w:rsidRPr="00B656CA"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  <w:t xml:space="preserve">Enfermería </w:t>
      </w:r>
      <w:r w:rsidRPr="00B656CA">
        <w:rPr>
          <w:rFonts w:ascii="Noto Sans" w:hAnsi="Noto Sans" w:cs="Noto Sans"/>
          <w:b/>
          <w:bCs/>
          <w:color w:val="000000" w:themeColor="text1"/>
          <w:spacing w:val="-2"/>
          <w:sz w:val="32"/>
          <w:szCs w:val="32"/>
        </w:rPr>
        <w:t>en todo el país</w:t>
      </w:r>
    </w:p>
    <w:p w14:paraId="7DF4FB3D" w14:textId="77777777" w:rsidR="00034DA0" w:rsidRPr="00B656CA" w:rsidRDefault="00034DA0" w:rsidP="000B21B4">
      <w:pPr>
        <w:ind w:left="-567" w:right="-1085"/>
        <w:jc w:val="center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7D9BAE5E" w14:textId="68C9367E" w:rsidR="00E14DE9" w:rsidRPr="00B656CA" w:rsidRDefault="00C045AE" w:rsidP="00976B41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El Instituto Mexicano del Seguro Social reconoce la labor de más de 136 mil </w:t>
      </w:r>
      <w:r w:rsidR="00F747E8"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Enfermeras </w:t>
      </w:r>
      <w:r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y </w:t>
      </w:r>
      <w:r w:rsidR="00F747E8"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Enfermeros </w:t>
      </w:r>
      <w:r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>que forman</w:t>
      </w:r>
      <w:r w:rsidR="00146F7C"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 el mayor porcentaje</w:t>
      </w:r>
      <w:r w:rsidRPr="00B656CA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 de las filas de su personal de salud. </w:t>
      </w:r>
    </w:p>
    <w:p w14:paraId="33DB5361" w14:textId="631F932C" w:rsidR="00E14DE9" w:rsidRPr="00B656CA" w:rsidRDefault="00C045AE" w:rsidP="00976B41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La enfermería tiene un papel dual: por un lado, gestiona el cuidado integral de las personas, y por otro, colabora de manera estrecha con otros profesionales de la salud</w:t>
      </w:r>
    </w:p>
    <w:p w14:paraId="313A1766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CA06206" w14:textId="2AA13F65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>En el marco del</w:t>
      </w:r>
      <w:r w:rsidR="00F41BEC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12 de mayo,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Día Internacional de la Enfermería, el Instituto Mexicano del Seguro Social (IMSS) reconoció la labor de más de 136 mil enfermeras y enfermeros que </w:t>
      </w:r>
      <w:r w:rsidR="00614C81" w:rsidRPr="00B656CA">
        <w:rPr>
          <w:rFonts w:ascii="Noto Sans" w:hAnsi="Noto Sans" w:cs="Noto Sans"/>
          <w:color w:val="000000" w:themeColor="text1"/>
          <w:sz w:val="20"/>
          <w:szCs w:val="20"/>
        </w:rPr>
        <w:t>forman parte de las filas del personal de salud del Instituto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, </w:t>
      </w:r>
      <w:r w:rsidR="00614C81" w:rsidRPr="00B656CA">
        <w:rPr>
          <w:rFonts w:ascii="Noto Sans" w:hAnsi="Noto Sans" w:cs="Noto Sans"/>
          <w:color w:val="000000" w:themeColor="text1"/>
          <w:sz w:val="20"/>
          <w:szCs w:val="20"/>
        </w:rPr>
        <w:t>destacando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su papel fundamental en la atención directa, la seguridad del paciente</w:t>
      </w:r>
      <w:r w:rsidR="00614C81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, así como 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la </w:t>
      </w:r>
      <w:r w:rsidR="00614C81" w:rsidRPr="00B656CA">
        <w:rPr>
          <w:rFonts w:ascii="Noto Sans" w:hAnsi="Noto Sans" w:cs="Noto Sans"/>
          <w:color w:val="000000" w:themeColor="text1"/>
          <w:sz w:val="20"/>
          <w:szCs w:val="20"/>
        </w:rPr>
        <w:t>sostenibilidad del sistema de salud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en todo el país.</w:t>
      </w:r>
    </w:p>
    <w:p w14:paraId="4FDD3BF9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75529758" w14:textId="4E2BC9CF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La titular de la Coordinación de Enfermería del IMSS, Maestra </w:t>
      </w:r>
      <w:r w:rsidR="00F41BEC" w:rsidRPr="00B656CA">
        <w:rPr>
          <w:rFonts w:ascii="Noto Sans" w:hAnsi="Noto Sans" w:cs="Noto Sans"/>
          <w:bCs/>
          <w:color w:val="000000" w:themeColor="text1"/>
          <w:sz w:val="20"/>
          <w:szCs w:val="20"/>
        </w:rPr>
        <w:t>Fabiana Maribel Zepeda Arias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, señaló que la </w:t>
      </w:r>
      <w:r w:rsidR="00F747E8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Enfermería 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>representa el grupo profesional más numeroso y constituye el primer punto de contacto con l</w:t>
      </w:r>
      <w:r w:rsidR="00614C81" w:rsidRPr="00B656CA">
        <w:rPr>
          <w:rFonts w:ascii="Noto Sans" w:hAnsi="Noto Sans" w:cs="Noto Sans"/>
          <w:color w:val="000000" w:themeColor="text1"/>
          <w:sz w:val="20"/>
          <w:szCs w:val="20"/>
        </w:rPr>
        <w:t>os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derechohabientes, lo que convierte su </w:t>
      </w:r>
      <w:r w:rsidR="00D614D4" w:rsidRPr="001A006D">
        <w:rPr>
          <w:rFonts w:ascii="Noto Sans" w:hAnsi="Noto Sans" w:cs="Noto Sans"/>
          <w:color w:val="000000" w:themeColor="text1"/>
          <w:sz w:val="20"/>
          <w:szCs w:val="20"/>
        </w:rPr>
        <w:t>atención en el cuidado</w:t>
      </w:r>
      <w:r w:rsidR="00D614D4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>en un elemento clave para garantizar una atención oportuna, segura y humanizada.</w:t>
      </w:r>
    </w:p>
    <w:p w14:paraId="7C850DA4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7694464" w14:textId="00E9FABF" w:rsidR="00F06180" w:rsidRPr="001A006D" w:rsidRDefault="007A478C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>E</w:t>
      </w:r>
      <w:r w:rsidR="00F06180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l trabajo del personal de </w:t>
      </w:r>
      <w:r w:rsidR="00F747E8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Enfermería </w:t>
      </w:r>
      <w:r w:rsidR="00F06180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impacta directamente en tres dimensiones esenciales: los resultados clínicos, la seguridad del paciente y la eficiencia del sistema de salud. Para la </w:t>
      </w:r>
      <w:proofErr w:type="spellStart"/>
      <w:r w:rsidR="00F06180" w:rsidRPr="00B656CA">
        <w:rPr>
          <w:rFonts w:ascii="Noto Sans" w:hAnsi="Noto Sans" w:cs="Noto Sans"/>
          <w:color w:val="000000" w:themeColor="text1"/>
          <w:sz w:val="20"/>
          <w:szCs w:val="20"/>
        </w:rPr>
        <w:t>derechohabiencia</w:t>
      </w:r>
      <w:proofErr w:type="spellEnd"/>
      <w:r w:rsidR="00F06180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, </w:t>
      </w:r>
      <w:r w:rsidR="00F747E8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Enfermería </w:t>
      </w:r>
      <w:r w:rsidR="00F06180" w:rsidRPr="00B656CA">
        <w:rPr>
          <w:rFonts w:ascii="Noto Sans" w:hAnsi="Noto Sans" w:cs="Noto Sans"/>
          <w:color w:val="000000" w:themeColor="text1"/>
          <w:sz w:val="20"/>
          <w:szCs w:val="20"/>
        </w:rPr>
        <w:t>significa</w:t>
      </w:r>
      <w:r w:rsidR="007A6491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F06180" w:rsidRPr="00B656CA">
        <w:rPr>
          <w:rFonts w:ascii="Noto Sans" w:hAnsi="Noto Sans" w:cs="Noto Sans"/>
          <w:color w:val="000000" w:themeColor="text1"/>
          <w:sz w:val="20"/>
          <w:szCs w:val="20"/>
        </w:rPr>
        <w:t>cuidado</w:t>
      </w:r>
      <w:r w:rsidR="00D614D4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D614D4" w:rsidRPr="001A006D">
        <w:rPr>
          <w:rFonts w:ascii="Noto Sans" w:hAnsi="Noto Sans" w:cs="Noto Sans"/>
          <w:color w:val="000000" w:themeColor="text1"/>
          <w:sz w:val="20"/>
          <w:szCs w:val="20"/>
        </w:rPr>
        <w:t>seguro</w:t>
      </w:r>
      <w:r w:rsidR="00F06180"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y acompañamiento constante; para el equipo médico, representa vigilancia clínica, gestión terapéutica y un aliado estratégico en la seguridad del paciente.</w:t>
      </w:r>
    </w:p>
    <w:p w14:paraId="34F34EB0" w14:textId="77777777" w:rsidR="00F06180" w:rsidRPr="001A006D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7A465BA9" w14:textId="4F70B80B" w:rsidR="00F06180" w:rsidRPr="001A006D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Asimismo, resaltó </w:t>
      </w:r>
      <w:r w:rsidR="00470EC0"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el crecimiento </w:t>
      </w:r>
      <w:r w:rsidRPr="001A006D">
        <w:rPr>
          <w:rFonts w:ascii="Noto Sans" w:hAnsi="Noto Sans" w:cs="Noto Sans"/>
          <w:color w:val="000000" w:themeColor="text1"/>
          <w:sz w:val="20"/>
          <w:szCs w:val="20"/>
        </w:rPr>
        <w:t>de esta profesión, que ha transitado de ser vista como una labor de apoyo a consolidarse como una disciplina autónoma, con un rol independiente y altamente especializado. “</w:t>
      </w:r>
      <w:r w:rsidR="007A6491" w:rsidRPr="001A006D">
        <w:rPr>
          <w:rFonts w:ascii="Noto Sans" w:hAnsi="Noto Sans" w:cs="Noto Sans"/>
          <w:color w:val="000000" w:themeColor="text1"/>
          <w:sz w:val="20"/>
          <w:szCs w:val="20"/>
        </w:rPr>
        <w:t>Hoy ya ha pasado de la subordinación a un trabajo profesional, respetuoso, hombro a hombro, en el que tenemos un trabajo transversal en el ámbito de nuestra disciplina para estar en</w:t>
      </w:r>
      <w:r w:rsidR="00F747E8"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pro del</w:t>
      </w:r>
      <w:r w:rsidR="00470EC0"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bienestar de la salud a través </w:t>
      </w:r>
      <w:r w:rsidR="007A6491" w:rsidRPr="001A006D">
        <w:rPr>
          <w:rFonts w:ascii="Noto Sans" w:hAnsi="Noto Sans" w:cs="Noto Sans"/>
          <w:color w:val="000000" w:themeColor="text1"/>
          <w:sz w:val="20"/>
          <w:szCs w:val="20"/>
        </w:rPr>
        <w:t>de la atención</w:t>
      </w:r>
      <w:r w:rsidR="00470EC0"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segura y oportuna</w:t>
      </w:r>
      <w:r w:rsidR="007A6491"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de la persona</w:t>
      </w:r>
      <w:r w:rsidRPr="001A006D">
        <w:rPr>
          <w:rFonts w:ascii="Noto Sans" w:hAnsi="Noto Sans" w:cs="Noto Sans"/>
          <w:color w:val="000000" w:themeColor="text1"/>
          <w:sz w:val="20"/>
          <w:szCs w:val="20"/>
        </w:rPr>
        <w:t>”, afirmó.</w:t>
      </w:r>
    </w:p>
    <w:p w14:paraId="78375315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7D7B5405" w14:textId="6344401D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 cuanto a su origen, recordó que la </w:t>
      </w:r>
      <w:r w:rsidR="00F747E8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Enfermería 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>moderna se incorporó formalmente al equipo de salud durante la Guerra de Crimea</w:t>
      </w:r>
      <w:r w:rsidR="00C045AE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en 1854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, cuando Florence Nightingale, junto con un grupo de 38 </w:t>
      </w:r>
      <w:r w:rsidR="00F747E8" w:rsidRPr="00B656CA">
        <w:rPr>
          <w:rFonts w:ascii="Noto Sans" w:hAnsi="Noto Sans" w:cs="Noto Sans"/>
          <w:color w:val="000000" w:themeColor="text1"/>
          <w:sz w:val="20"/>
          <w:szCs w:val="20"/>
        </w:rPr>
        <w:t>E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>nfermeras, implementó medidas de higiene, vigilancia clínica y registro estadístico que lograron reducir la mortalidad hospitalaria de 42 a 2 por ciento en tan solo seis meses, marcando un precedente histórico en la medicina moderna.</w:t>
      </w:r>
    </w:p>
    <w:p w14:paraId="7F534CB5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39B2B690" w14:textId="4C5C89E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 el IMSS, la profesionalización de la </w:t>
      </w:r>
      <w:r w:rsidR="00F747E8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Enfermería 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continúa fortaleciéndose. </w:t>
      </w:r>
      <w:r w:rsidR="007A6491" w:rsidRPr="00B656CA">
        <w:rPr>
          <w:rFonts w:ascii="Noto Sans" w:hAnsi="Noto Sans" w:cs="Noto Sans"/>
          <w:color w:val="000000" w:themeColor="text1"/>
          <w:sz w:val="20"/>
          <w:szCs w:val="20"/>
        </w:rPr>
        <w:t>El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677F71" w:rsidRPr="00B656CA">
        <w:rPr>
          <w:rFonts w:ascii="Noto Sans" w:hAnsi="Noto Sans" w:cs="Noto Sans"/>
          <w:bCs/>
          <w:color w:val="000000" w:themeColor="text1"/>
          <w:sz w:val="20"/>
          <w:szCs w:val="20"/>
        </w:rPr>
        <w:t>22 de enero 2024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se instaló una Comisión Bilateral para la implementación de la categoría de Enfermera General Clínica, lo que ha 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lastRenderedPageBreak/>
        <w:t>permitido avanzar en la transformación del ejercicio profesional. A</w:t>
      </w:r>
      <w:r w:rsidR="00677F71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mayo de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2026, el Instituto cuenta con 25 mil 993 plazas bajo esta nueva categoría en los distintos Órganos de Operación Administrativa Desconcentrada.</w:t>
      </w:r>
    </w:p>
    <w:p w14:paraId="18128111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8EE18FC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>El Instituto también impulsa la formación académica a través de siete escuelas de enfermería ubicadas en Ciudad de México, Monterrey, Tijuana, Guadalajara, Hermosillo, Mérida y Ciudad Obregón, de las cuales egresan en promedio 400 profesionales al año, quienes contribuyen al fortalecimiento del sistema de salud, tanto dentro como fuera del Seguro Social.</w:t>
      </w:r>
    </w:p>
    <w:p w14:paraId="01412AAE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3C0F125A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>Actualmente, el personal de enfermería del IMSS se desempeña en diversos niveles de atención y especialidades, que van desde auxiliares en salud pública hasta enfermeras especialistas, jefaturas de piso, coordinaciones, supervisiones y cargos directivos, lo que refleja la amplitud y complejidad de su campo de acción.</w:t>
      </w:r>
    </w:p>
    <w:p w14:paraId="293FE8EE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3D7B66D" w14:textId="1146ABF0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>Finalmente, la titular de la Coordinación de Enfermería hizo un llamado a continuar fortaleciendo esta profesión con liderazgo, conocimiento y compromiso social. “</w:t>
      </w:r>
      <w:r w:rsidR="007A6491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Seamos líderes de la enfermedad, enaltezcamos a nuestro gremio haciendo líderes </w:t>
      </w:r>
      <w:r w:rsidR="00146F7C" w:rsidRPr="001A006D">
        <w:rPr>
          <w:rFonts w:ascii="Noto Sans" w:hAnsi="Noto Sans" w:cs="Noto Sans"/>
          <w:color w:val="000000" w:themeColor="text1"/>
          <w:sz w:val="20"/>
          <w:szCs w:val="20"/>
        </w:rPr>
        <w:t>efectivos y auténticos</w:t>
      </w:r>
      <w:r w:rsidR="00B656CA" w:rsidRPr="00B656CA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,</w:t>
      </w:r>
      <w:r w:rsidR="00146F7C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7A6491" w:rsidRPr="00B656CA">
        <w:rPr>
          <w:rFonts w:ascii="Noto Sans" w:hAnsi="Noto Sans" w:cs="Noto Sans"/>
          <w:color w:val="000000" w:themeColor="text1"/>
          <w:sz w:val="20"/>
          <w:szCs w:val="20"/>
        </w:rPr>
        <w:t>sobre todo,</w:t>
      </w:r>
      <w:r w:rsidR="00C045AE"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7A6491" w:rsidRPr="00B656CA">
        <w:rPr>
          <w:rFonts w:ascii="Noto Sans" w:hAnsi="Noto Sans" w:cs="Noto Sans"/>
          <w:color w:val="000000" w:themeColor="text1"/>
          <w:sz w:val="20"/>
          <w:szCs w:val="20"/>
        </w:rPr>
        <w:t>seamos parte del equipo de salud porque solo juntos lo podemos lograr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>”, concluyó.</w:t>
      </w:r>
    </w:p>
    <w:p w14:paraId="557E1D68" w14:textId="77777777" w:rsidR="00F06180" w:rsidRPr="00B656CA" w:rsidRDefault="00F06180" w:rsidP="00F06180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7BB79045" w14:textId="403DE5C2" w:rsidR="00AE41FF" w:rsidRDefault="00F06180" w:rsidP="00C045AE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656CA">
        <w:rPr>
          <w:rFonts w:ascii="Noto Sans" w:hAnsi="Noto Sans" w:cs="Noto Sans"/>
          <w:color w:val="000000" w:themeColor="text1"/>
          <w:sz w:val="20"/>
          <w:szCs w:val="20"/>
        </w:rPr>
        <w:t>En esta conmemoración, el IMSS reiter</w:t>
      </w:r>
      <w:r w:rsidR="00C045AE" w:rsidRPr="00B656CA">
        <w:rPr>
          <w:rFonts w:ascii="Noto Sans" w:hAnsi="Noto Sans" w:cs="Noto Sans"/>
          <w:color w:val="000000" w:themeColor="text1"/>
          <w:sz w:val="20"/>
          <w:szCs w:val="20"/>
        </w:rPr>
        <w:t>a</w:t>
      </w:r>
      <w:r w:rsidRPr="00B656CA">
        <w:rPr>
          <w:rFonts w:ascii="Noto Sans" w:hAnsi="Noto Sans" w:cs="Noto Sans"/>
          <w:color w:val="000000" w:themeColor="text1"/>
          <w:sz w:val="20"/>
          <w:szCs w:val="20"/>
        </w:rPr>
        <w:t xml:space="preserve"> su reconocimiento al profesionalismo, vocación y entrega del personal de enfermería, cuya labor es indispensable para brindar una atención integral, segura y humana a millones de derechohabientes en todo el país.</w:t>
      </w:r>
    </w:p>
    <w:p w14:paraId="131E212A" w14:textId="77777777" w:rsidR="001A006D" w:rsidRDefault="001A006D" w:rsidP="00C045AE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23B1027F" w14:textId="77777777" w:rsidR="001A006D" w:rsidRDefault="001A006D" w:rsidP="00C045AE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4140A429" w14:textId="77777777" w:rsidR="001A006D" w:rsidRPr="001A006D" w:rsidRDefault="001A006D" w:rsidP="001A006D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proofErr w:type="gramStart"/>
      <w:r w:rsidRPr="001A006D">
        <w:rPr>
          <w:rFonts w:ascii="Noto Sans" w:hAnsi="Noto Sans" w:cs="Noto Sans"/>
          <w:color w:val="000000" w:themeColor="text1"/>
          <w:sz w:val="20"/>
          <w:szCs w:val="20"/>
        </w:rPr>
        <w:t>LINK</w:t>
      </w:r>
      <w:proofErr w:type="gramEnd"/>
      <w:r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DE FOTOS</w:t>
      </w:r>
    </w:p>
    <w:p w14:paraId="67E687CB" w14:textId="7B48304A" w:rsidR="001A006D" w:rsidRPr="001A006D" w:rsidRDefault="001A006D" w:rsidP="001A006D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hyperlink r:id="rId8" w:history="1">
        <w:r w:rsidRPr="00E61F6C">
          <w:rPr>
            <w:rStyle w:val="Hipervnculo"/>
            <w:rFonts w:ascii="Noto Sans" w:hAnsi="Noto Sans" w:cs="Noto Sans"/>
            <w:sz w:val="20"/>
            <w:szCs w:val="20"/>
          </w:rPr>
          <w:t>https://drive.google.com/drive/folders/1A6r2iWznWWlpgnDR_NB3GqwsLR7cLJPZ?usp=sharing</w:t>
        </w:r>
      </w:hyperlink>
      <w:r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</w:p>
    <w:p w14:paraId="11F45ADA" w14:textId="77777777" w:rsidR="001A006D" w:rsidRPr="001A006D" w:rsidRDefault="001A006D" w:rsidP="001A006D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664E2A72" w14:textId="77777777" w:rsidR="001A006D" w:rsidRPr="001A006D" w:rsidRDefault="001A006D" w:rsidP="001A006D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1A006D">
        <w:rPr>
          <w:rFonts w:ascii="Segoe UI Emoji" w:hAnsi="Segoe UI Emoji" w:cs="Segoe UI Emoji"/>
          <w:color w:val="000000" w:themeColor="text1"/>
          <w:sz w:val="20"/>
          <w:szCs w:val="20"/>
        </w:rPr>
        <w:t>📹</w:t>
      </w:r>
      <w:r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proofErr w:type="gramStart"/>
      <w:r w:rsidRPr="001A006D">
        <w:rPr>
          <w:rFonts w:ascii="Noto Sans" w:hAnsi="Noto Sans" w:cs="Noto Sans"/>
          <w:color w:val="000000" w:themeColor="text1"/>
          <w:sz w:val="20"/>
          <w:szCs w:val="20"/>
        </w:rPr>
        <w:t>LINK</w:t>
      </w:r>
      <w:proofErr w:type="gramEnd"/>
      <w:r w:rsidRPr="001A006D">
        <w:rPr>
          <w:rFonts w:ascii="Noto Sans" w:hAnsi="Noto Sans" w:cs="Noto Sans"/>
          <w:color w:val="000000" w:themeColor="text1"/>
          <w:sz w:val="20"/>
          <w:szCs w:val="20"/>
        </w:rPr>
        <w:t xml:space="preserve"> DE VIDEO</w:t>
      </w:r>
    </w:p>
    <w:p w14:paraId="5F8866B2" w14:textId="438267D3" w:rsidR="001A006D" w:rsidRPr="00B656CA" w:rsidRDefault="001A006D" w:rsidP="001A006D">
      <w:pPr>
        <w:ind w:right="51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hyperlink r:id="rId9" w:history="1">
        <w:r w:rsidRPr="00E61F6C">
          <w:rPr>
            <w:rStyle w:val="Hipervnculo"/>
            <w:rFonts w:ascii="Noto Sans" w:hAnsi="Noto Sans" w:cs="Noto Sans"/>
            <w:sz w:val="20"/>
            <w:szCs w:val="20"/>
          </w:rPr>
          <w:t>https://sendgb.com/E19W8Lsxo7H</w:t>
        </w:r>
      </w:hyperlink>
      <w:r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</w:p>
    <w:p w14:paraId="55939D17" w14:textId="430F8A4E" w:rsidR="00677F71" w:rsidRDefault="00677F71" w:rsidP="001A006D">
      <w:pPr>
        <w:ind w:right="51"/>
        <w:jc w:val="center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5C8911BF" w14:textId="77777777" w:rsidR="001A006D" w:rsidRDefault="001A006D" w:rsidP="001A006D">
      <w:pPr>
        <w:ind w:right="51"/>
        <w:jc w:val="center"/>
        <w:rPr>
          <w:rFonts w:ascii="Noto Sans" w:hAnsi="Noto Sans" w:cs="Noto Sans"/>
          <w:color w:val="000000" w:themeColor="text1"/>
          <w:sz w:val="20"/>
          <w:szCs w:val="20"/>
        </w:rPr>
      </w:pPr>
    </w:p>
    <w:sectPr w:rsidR="001A006D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6FEB" w14:textId="77777777" w:rsidR="009A615C" w:rsidRDefault="009A615C" w:rsidP="00A73D65">
      <w:r>
        <w:separator/>
      </w:r>
    </w:p>
  </w:endnote>
  <w:endnote w:type="continuationSeparator" w:id="0">
    <w:p w14:paraId="7DF0FE40" w14:textId="77777777" w:rsidR="009A615C" w:rsidRDefault="009A615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2C83" w14:textId="77777777" w:rsidR="009A615C" w:rsidRDefault="009A615C" w:rsidP="00A73D65">
      <w:r>
        <w:separator/>
      </w:r>
    </w:p>
  </w:footnote>
  <w:footnote w:type="continuationSeparator" w:id="0">
    <w:p w14:paraId="7AAA54D8" w14:textId="77777777" w:rsidR="009A615C" w:rsidRDefault="009A615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434F17D">
          <wp:simplePos x="0" y="0"/>
          <wp:positionH relativeFrom="column">
            <wp:posOffset>-765810</wp:posOffset>
          </wp:positionH>
          <wp:positionV relativeFrom="paragraph">
            <wp:posOffset>-498475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25A0134"/>
    <w:multiLevelType w:val="hybridMultilevel"/>
    <w:tmpl w:val="CC1E4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4C34"/>
    <w:multiLevelType w:val="hybridMultilevel"/>
    <w:tmpl w:val="615A4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29F"/>
    <w:multiLevelType w:val="hybridMultilevel"/>
    <w:tmpl w:val="5E6CB0EC"/>
    <w:lvl w:ilvl="0" w:tplc="849251EC">
      <w:numFmt w:val="bullet"/>
      <w:lvlText w:val="-"/>
      <w:lvlJc w:val="left"/>
      <w:pPr>
        <w:ind w:left="441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5" w15:restartNumberingAfterBreak="0">
    <w:nsid w:val="41E366FB"/>
    <w:multiLevelType w:val="hybridMultilevel"/>
    <w:tmpl w:val="05BE9CB0"/>
    <w:lvl w:ilvl="0" w:tplc="D14E5D8A">
      <w:numFmt w:val="bullet"/>
      <w:lvlText w:val="-"/>
      <w:lvlJc w:val="left"/>
      <w:pPr>
        <w:ind w:left="477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6" w15:restartNumberingAfterBreak="0">
    <w:nsid w:val="47E563F9"/>
    <w:multiLevelType w:val="hybridMultilevel"/>
    <w:tmpl w:val="3D544F04"/>
    <w:lvl w:ilvl="0" w:tplc="8D8822B8">
      <w:numFmt w:val="bullet"/>
      <w:lvlText w:val="-"/>
      <w:lvlJc w:val="left"/>
      <w:pPr>
        <w:ind w:left="108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D527B"/>
    <w:multiLevelType w:val="hybridMultilevel"/>
    <w:tmpl w:val="FC18D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0590B"/>
    <w:multiLevelType w:val="hybridMultilevel"/>
    <w:tmpl w:val="79169D04"/>
    <w:lvl w:ilvl="0" w:tplc="1DD6EF64"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59627">
    <w:abstractNumId w:val="0"/>
  </w:num>
  <w:num w:numId="2" w16cid:durableId="540245815">
    <w:abstractNumId w:val="1"/>
  </w:num>
  <w:num w:numId="3" w16cid:durableId="1690641510">
    <w:abstractNumId w:val="7"/>
  </w:num>
  <w:num w:numId="4" w16cid:durableId="2055689544">
    <w:abstractNumId w:val="8"/>
  </w:num>
  <w:num w:numId="5" w16cid:durableId="35551401">
    <w:abstractNumId w:val="3"/>
  </w:num>
  <w:num w:numId="6" w16cid:durableId="595986136">
    <w:abstractNumId w:val="9"/>
  </w:num>
  <w:num w:numId="7" w16cid:durableId="798498910">
    <w:abstractNumId w:val="2"/>
  </w:num>
  <w:num w:numId="8" w16cid:durableId="1143692652">
    <w:abstractNumId w:val="4"/>
  </w:num>
  <w:num w:numId="9" w16cid:durableId="1788936614">
    <w:abstractNumId w:val="5"/>
  </w:num>
  <w:num w:numId="10" w16cid:durableId="600919358">
    <w:abstractNumId w:val="10"/>
  </w:num>
  <w:num w:numId="11" w16cid:durableId="1081409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129"/>
    <w:rsid w:val="00007681"/>
    <w:rsid w:val="0001368E"/>
    <w:rsid w:val="00034DA0"/>
    <w:rsid w:val="0004094B"/>
    <w:rsid w:val="00054FDD"/>
    <w:rsid w:val="00084FE7"/>
    <w:rsid w:val="000A0952"/>
    <w:rsid w:val="000A09C1"/>
    <w:rsid w:val="000A30DA"/>
    <w:rsid w:val="000A408C"/>
    <w:rsid w:val="000B02A7"/>
    <w:rsid w:val="000B21B4"/>
    <w:rsid w:val="000D0A59"/>
    <w:rsid w:val="000D22E2"/>
    <w:rsid w:val="000D799D"/>
    <w:rsid w:val="000E5D1C"/>
    <w:rsid w:val="001136B0"/>
    <w:rsid w:val="0011750C"/>
    <w:rsid w:val="00117614"/>
    <w:rsid w:val="00132439"/>
    <w:rsid w:val="00142EDD"/>
    <w:rsid w:val="00144E16"/>
    <w:rsid w:val="00146F7C"/>
    <w:rsid w:val="00151743"/>
    <w:rsid w:val="0015331E"/>
    <w:rsid w:val="00156A3E"/>
    <w:rsid w:val="00161740"/>
    <w:rsid w:val="00161793"/>
    <w:rsid w:val="0016179D"/>
    <w:rsid w:val="0016527D"/>
    <w:rsid w:val="0016690D"/>
    <w:rsid w:val="00167B3D"/>
    <w:rsid w:val="00180A38"/>
    <w:rsid w:val="00184325"/>
    <w:rsid w:val="00196D61"/>
    <w:rsid w:val="001A006D"/>
    <w:rsid w:val="001C3F1C"/>
    <w:rsid w:val="001E34E3"/>
    <w:rsid w:val="001E6C3E"/>
    <w:rsid w:val="001F111A"/>
    <w:rsid w:val="001F6AC7"/>
    <w:rsid w:val="00202D55"/>
    <w:rsid w:val="0023615C"/>
    <w:rsid w:val="00256B1D"/>
    <w:rsid w:val="002726CE"/>
    <w:rsid w:val="0029542D"/>
    <w:rsid w:val="002A3EFF"/>
    <w:rsid w:val="002C5AEE"/>
    <w:rsid w:val="002E2142"/>
    <w:rsid w:val="002F5142"/>
    <w:rsid w:val="0030476A"/>
    <w:rsid w:val="00324109"/>
    <w:rsid w:val="00330DC8"/>
    <w:rsid w:val="00334CB4"/>
    <w:rsid w:val="0034181C"/>
    <w:rsid w:val="003552A2"/>
    <w:rsid w:val="00363222"/>
    <w:rsid w:val="00370465"/>
    <w:rsid w:val="00377C45"/>
    <w:rsid w:val="003A034A"/>
    <w:rsid w:val="003B0A34"/>
    <w:rsid w:val="003C7BAB"/>
    <w:rsid w:val="003D152A"/>
    <w:rsid w:val="003D416E"/>
    <w:rsid w:val="003E1335"/>
    <w:rsid w:val="003E15DD"/>
    <w:rsid w:val="003F1DE8"/>
    <w:rsid w:val="00412179"/>
    <w:rsid w:val="00412808"/>
    <w:rsid w:val="00423D7E"/>
    <w:rsid w:val="0044181B"/>
    <w:rsid w:val="00470EC0"/>
    <w:rsid w:val="00477F45"/>
    <w:rsid w:val="00486FF7"/>
    <w:rsid w:val="004A2714"/>
    <w:rsid w:val="004A4C4E"/>
    <w:rsid w:val="004B1A49"/>
    <w:rsid w:val="004D146C"/>
    <w:rsid w:val="004D2D3D"/>
    <w:rsid w:val="004E0D31"/>
    <w:rsid w:val="00516B90"/>
    <w:rsid w:val="005320C3"/>
    <w:rsid w:val="00590DD4"/>
    <w:rsid w:val="005933D8"/>
    <w:rsid w:val="005C1A7C"/>
    <w:rsid w:val="005C1FB5"/>
    <w:rsid w:val="005C7CAD"/>
    <w:rsid w:val="005E4556"/>
    <w:rsid w:val="00602F82"/>
    <w:rsid w:val="00603AD8"/>
    <w:rsid w:val="00607A6D"/>
    <w:rsid w:val="00614C81"/>
    <w:rsid w:val="00623CE1"/>
    <w:rsid w:val="00625F2E"/>
    <w:rsid w:val="00626EE3"/>
    <w:rsid w:val="00631824"/>
    <w:rsid w:val="006322C1"/>
    <w:rsid w:val="006323D6"/>
    <w:rsid w:val="00653242"/>
    <w:rsid w:val="006663F6"/>
    <w:rsid w:val="00672E44"/>
    <w:rsid w:val="00677F71"/>
    <w:rsid w:val="006A0366"/>
    <w:rsid w:val="006A3D09"/>
    <w:rsid w:val="006A5C24"/>
    <w:rsid w:val="006C0425"/>
    <w:rsid w:val="006C3B4E"/>
    <w:rsid w:val="006C7337"/>
    <w:rsid w:val="006D2BC1"/>
    <w:rsid w:val="006D2C29"/>
    <w:rsid w:val="006F65B6"/>
    <w:rsid w:val="007009FE"/>
    <w:rsid w:val="007421E3"/>
    <w:rsid w:val="00742C5F"/>
    <w:rsid w:val="00746426"/>
    <w:rsid w:val="007467E9"/>
    <w:rsid w:val="007504BE"/>
    <w:rsid w:val="0075596C"/>
    <w:rsid w:val="00766723"/>
    <w:rsid w:val="00770A1B"/>
    <w:rsid w:val="00777909"/>
    <w:rsid w:val="0078195E"/>
    <w:rsid w:val="00787E5C"/>
    <w:rsid w:val="00790152"/>
    <w:rsid w:val="00796447"/>
    <w:rsid w:val="007A478C"/>
    <w:rsid w:val="007A6491"/>
    <w:rsid w:val="007B74AD"/>
    <w:rsid w:val="007C1874"/>
    <w:rsid w:val="007C345D"/>
    <w:rsid w:val="007D77D1"/>
    <w:rsid w:val="007E55D9"/>
    <w:rsid w:val="007E5888"/>
    <w:rsid w:val="007E67C3"/>
    <w:rsid w:val="007F1DB3"/>
    <w:rsid w:val="007F5E00"/>
    <w:rsid w:val="00811333"/>
    <w:rsid w:val="008168EF"/>
    <w:rsid w:val="00831EE7"/>
    <w:rsid w:val="00834146"/>
    <w:rsid w:val="00840B75"/>
    <w:rsid w:val="008726F3"/>
    <w:rsid w:val="00886659"/>
    <w:rsid w:val="008A3552"/>
    <w:rsid w:val="008E1923"/>
    <w:rsid w:val="0090412A"/>
    <w:rsid w:val="00905F46"/>
    <w:rsid w:val="009066A7"/>
    <w:rsid w:val="009068C0"/>
    <w:rsid w:val="00907F1C"/>
    <w:rsid w:val="0092557E"/>
    <w:rsid w:val="00931615"/>
    <w:rsid w:val="00932C27"/>
    <w:rsid w:val="00937C98"/>
    <w:rsid w:val="00941772"/>
    <w:rsid w:val="00942415"/>
    <w:rsid w:val="00942628"/>
    <w:rsid w:val="0094365A"/>
    <w:rsid w:val="009568BA"/>
    <w:rsid w:val="00976B41"/>
    <w:rsid w:val="009968B5"/>
    <w:rsid w:val="009A615C"/>
    <w:rsid w:val="009A6BA3"/>
    <w:rsid w:val="009C12D6"/>
    <w:rsid w:val="009D6A50"/>
    <w:rsid w:val="009E41D2"/>
    <w:rsid w:val="009F2BA1"/>
    <w:rsid w:val="00A04EA7"/>
    <w:rsid w:val="00A07674"/>
    <w:rsid w:val="00A301D7"/>
    <w:rsid w:val="00A7141D"/>
    <w:rsid w:val="00A73D65"/>
    <w:rsid w:val="00A81044"/>
    <w:rsid w:val="00AA3500"/>
    <w:rsid w:val="00AA7141"/>
    <w:rsid w:val="00AE41FF"/>
    <w:rsid w:val="00AF7388"/>
    <w:rsid w:val="00B13314"/>
    <w:rsid w:val="00B35923"/>
    <w:rsid w:val="00B3608B"/>
    <w:rsid w:val="00B36219"/>
    <w:rsid w:val="00B4313A"/>
    <w:rsid w:val="00B656CA"/>
    <w:rsid w:val="00B65AC5"/>
    <w:rsid w:val="00B673C4"/>
    <w:rsid w:val="00B72D65"/>
    <w:rsid w:val="00B87C85"/>
    <w:rsid w:val="00B907DC"/>
    <w:rsid w:val="00BB21A6"/>
    <w:rsid w:val="00BB2DFF"/>
    <w:rsid w:val="00BB5A3D"/>
    <w:rsid w:val="00BC1893"/>
    <w:rsid w:val="00BC43BD"/>
    <w:rsid w:val="00BF29F6"/>
    <w:rsid w:val="00C02E98"/>
    <w:rsid w:val="00C045AE"/>
    <w:rsid w:val="00C13382"/>
    <w:rsid w:val="00C23B9E"/>
    <w:rsid w:val="00C279A3"/>
    <w:rsid w:val="00C30849"/>
    <w:rsid w:val="00C465FE"/>
    <w:rsid w:val="00C67047"/>
    <w:rsid w:val="00C71975"/>
    <w:rsid w:val="00C90CED"/>
    <w:rsid w:val="00C91DCB"/>
    <w:rsid w:val="00CA497D"/>
    <w:rsid w:val="00CB4E79"/>
    <w:rsid w:val="00CB7D4F"/>
    <w:rsid w:val="00CC3380"/>
    <w:rsid w:val="00CD310D"/>
    <w:rsid w:val="00CE32EA"/>
    <w:rsid w:val="00CE3E99"/>
    <w:rsid w:val="00CF2C01"/>
    <w:rsid w:val="00D1354D"/>
    <w:rsid w:val="00D16D66"/>
    <w:rsid w:val="00D17C3C"/>
    <w:rsid w:val="00D370A9"/>
    <w:rsid w:val="00D54A12"/>
    <w:rsid w:val="00D556DD"/>
    <w:rsid w:val="00D614D4"/>
    <w:rsid w:val="00D62AA0"/>
    <w:rsid w:val="00D84E05"/>
    <w:rsid w:val="00D94DFA"/>
    <w:rsid w:val="00D95C69"/>
    <w:rsid w:val="00DA037A"/>
    <w:rsid w:val="00DA1B19"/>
    <w:rsid w:val="00DA5527"/>
    <w:rsid w:val="00DB29C6"/>
    <w:rsid w:val="00DB53A4"/>
    <w:rsid w:val="00DC1EEB"/>
    <w:rsid w:val="00DD49E3"/>
    <w:rsid w:val="00DE3D28"/>
    <w:rsid w:val="00E02953"/>
    <w:rsid w:val="00E1044C"/>
    <w:rsid w:val="00E14DE9"/>
    <w:rsid w:val="00E155A4"/>
    <w:rsid w:val="00E159BC"/>
    <w:rsid w:val="00E3458D"/>
    <w:rsid w:val="00E42773"/>
    <w:rsid w:val="00E42F93"/>
    <w:rsid w:val="00E45355"/>
    <w:rsid w:val="00E465D5"/>
    <w:rsid w:val="00E65177"/>
    <w:rsid w:val="00E71C54"/>
    <w:rsid w:val="00E72C89"/>
    <w:rsid w:val="00E87AA8"/>
    <w:rsid w:val="00E93867"/>
    <w:rsid w:val="00EA2098"/>
    <w:rsid w:val="00EA78C8"/>
    <w:rsid w:val="00EB04C9"/>
    <w:rsid w:val="00EB2C0D"/>
    <w:rsid w:val="00EB407F"/>
    <w:rsid w:val="00EC5CD0"/>
    <w:rsid w:val="00ED2E59"/>
    <w:rsid w:val="00ED4E7A"/>
    <w:rsid w:val="00EE053F"/>
    <w:rsid w:val="00EE6B41"/>
    <w:rsid w:val="00EF40A2"/>
    <w:rsid w:val="00F06180"/>
    <w:rsid w:val="00F231FB"/>
    <w:rsid w:val="00F24915"/>
    <w:rsid w:val="00F33C47"/>
    <w:rsid w:val="00F36383"/>
    <w:rsid w:val="00F401F9"/>
    <w:rsid w:val="00F41BEC"/>
    <w:rsid w:val="00F63792"/>
    <w:rsid w:val="00F73463"/>
    <w:rsid w:val="00F745B2"/>
    <w:rsid w:val="00F747E8"/>
    <w:rsid w:val="00F76423"/>
    <w:rsid w:val="00F945F2"/>
    <w:rsid w:val="00FA1218"/>
    <w:rsid w:val="00FA27F9"/>
    <w:rsid w:val="00FA74A8"/>
    <w:rsid w:val="00FD0191"/>
    <w:rsid w:val="00FD754F"/>
    <w:rsid w:val="00FD75E1"/>
    <w:rsid w:val="00FE2ADE"/>
    <w:rsid w:val="00FF06FA"/>
    <w:rsid w:val="00FF30C7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9D11A00-CB27-42CD-BD27-3FF53C06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E9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B21B4"/>
    <w:rPr>
      <w:rFonts w:eastAsiaTheme="minorEastAsia"/>
      <w:lang w:val="es-ES"/>
    </w:rPr>
  </w:style>
  <w:style w:type="paragraph" w:styleId="Revisin">
    <w:name w:val="Revision"/>
    <w:hidden/>
    <w:uiPriority w:val="99"/>
    <w:semiHidden/>
    <w:rsid w:val="00C7197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AE4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6r2iWznWWlpgnDR_NB3GqwsLR7cLJPZ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E19W8Lsxo7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347D0-ACB4-457F-9631-651B7C8A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2026-05-12T16:25:00Z</dcterms:created>
  <dcterms:modified xsi:type="dcterms:W3CDTF">2026-05-12T16:25:00Z</dcterms:modified>
</cp:coreProperties>
</file>