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99DFD" w14:textId="775F0159" w:rsidR="007C49EA" w:rsidRDefault="005B55B3">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2887C96B" wp14:editId="4A9279F0">
                <wp:simplePos x="0" y="0"/>
                <wp:positionH relativeFrom="column">
                  <wp:posOffset>2366010</wp:posOffset>
                </wp:positionH>
                <wp:positionV relativeFrom="paragraph">
                  <wp:posOffset>0</wp:posOffset>
                </wp:positionV>
                <wp:extent cx="3845560" cy="8001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00100"/>
                        </a:xfrm>
                        <a:prstGeom prst="rect">
                          <a:avLst/>
                        </a:prstGeom>
                        <a:noFill/>
                        <a:ln>
                          <a:noFill/>
                        </a:ln>
                      </wps:spPr>
                      <wps:txbx>
                        <w:txbxContent>
                          <w:p w14:paraId="594A728A" w14:textId="77777777" w:rsidR="007C49EA" w:rsidRDefault="004C149E">
                            <w:pPr>
                              <w:spacing w:before="120" w:after="40" w:line="219" w:lineRule="auto"/>
                              <w:jc w:val="right"/>
                              <w:textDirection w:val="btLr"/>
                            </w:pPr>
                            <w:r>
                              <w:rPr>
                                <w:rFonts w:ascii="Noto Sans" w:eastAsia="Noto Sans" w:hAnsi="Noto Sans" w:cs="Noto Sans"/>
                                <w:color w:val="BA8C54"/>
                                <w:sz w:val="28"/>
                              </w:rPr>
                              <w:t>BOLETÍN DE PRENSA</w:t>
                            </w:r>
                          </w:p>
                          <w:p w14:paraId="18190C93" w14:textId="6841DB2C" w:rsidR="007C49EA" w:rsidRDefault="004C149E">
                            <w:pPr>
                              <w:spacing w:before="120" w:after="40" w:line="219" w:lineRule="auto"/>
                              <w:jc w:val="right"/>
                              <w:textDirection w:val="btLr"/>
                            </w:pPr>
                            <w:r>
                              <w:rPr>
                                <w:rFonts w:ascii="Noto Sans" w:eastAsia="Noto Sans" w:hAnsi="Noto Sans" w:cs="Noto Sans"/>
                                <w:color w:val="000000"/>
                                <w:sz w:val="20"/>
                              </w:rPr>
                              <w:t xml:space="preserve">Ciudad de México, </w:t>
                            </w:r>
                            <w:r w:rsidR="005B55B3">
                              <w:rPr>
                                <w:rFonts w:ascii="Noto Sans" w:eastAsia="Noto Sans" w:hAnsi="Noto Sans" w:cs="Noto Sans"/>
                                <w:color w:val="000000"/>
                                <w:sz w:val="20"/>
                              </w:rPr>
                              <w:t xml:space="preserve">lunes 4 de mayo </w:t>
                            </w:r>
                            <w:r>
                              <w:rPr>
                                <w:rFonts w:ascii="Noto Sans" w:eastAsia="Noto Sans" w:hAnsi="Noto Sans" w:cs="Noto Sans"/>
                                <w:color w:val="000000"/>
                                <w:sz w:val="20"/>
                              </w:rPr>
                              <w:t xml:space="preserve">de 2026 </w:t>
                            </w:r>
                          </w:p>
                          <w:p w14:paraId="14042139" w14:textId="1DAF4E5D" w:rsidR="007C49EA" w:rsidRDefault="004C149E">
                            <w:pPr>
                              <w:spacing w:before="120" w:after="40" w:line="219" w:lineRule="auto"/>
                              <w:jc w:val="right"/>
                              <w:textDirection w:val="btLr"/>
                            </w:pPr>
                            <w:r>
                              <w:rPr>
                                <w:rFonts w:ascii="Noto Sans" w:eastAsia="Noto Sans" w:hAnsi="Noto Sans" w:cs="Noto Sans"/>
                                <w:color w:val="000000"/>
                                <w:sz w:val="20"/>
                              </w:rPr>
                              <w:t>No. 244</w:t>
                            </w:r>
                            <w:r>
                              <w:rPr>
                                <w:rFonts w:ascii="Noto Sans" w:eastAsia="Noto Sans" w:hAnsi="Noto Sans" w:cs="Noto Sans"/>
                                <w:color w:val="000000"/>
                                <w:sz w:val="20"/>
                              </w:rPr>
                              <w:t>/2026</w:t>
                            </w:r>
                          </w:p>
                          <w:p w14:paraId="7D7B358F" w14:textId="77777777" w:rsidR="007C49EA" w:rsidRDefault="007C49EA">
                            <w:pPr>
                              <w:spacing w:before="120" w:after="40" w:line="219" w:lineRule="auto"/>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887C96B" id="Rectángulo 1" o:spid="_x0000_s1026" style="position:absolute;left:0;text-align:left;margin-left:186.3pt;margin-top:0;width:302.8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" filled="f" stroked="f">
                <v:textbox inset="0,0,0,0">
                  <w:txbxContent>
                    <w:p w14:paraId="594A728A" w14:textId="77777777" w:rsidR="007C49EA" w:rsidRDefault="004C149E">
                      <w:pPr>
                        <w:spacing w:before="120" w:after="40" w:line="219" w:lineRule="auto"/>
                        <w:jc w:val="right"/>
                        <w:textDirection w:val="btLr"/>
                      </w:pPr>
                      <w:r>
                        <w:rPr>
                          <w:rFonts w:ascii="Noto Sans" w:eastAsia="Noto Sans" w:hAnsi="Noto Sans" w:cs="Noto Sans"/>
                          <w:color w:val="BA8C54"/>
                          <w:sz w:val="28"/>
                        </w:rPr>
                        <w:t>BOLETÍN DE PRENSA</w:t>
                      </w:r>
                    </w:p>
                    <w:p w14:paraId="18190C93" w14:textId="6841DB2C" w:rsidR="007C49EA" w:rsidRDefault="004C149E">
                      <w:pPr>
                        <w:spacing w:before="120" w:after="40" w:line="219" w:lineRule="auto"/>
                        <w:jc w:val="right"/>
                        <w:textDirection w:val="btLr"/>
                      </w:pPr>
                      <w:r>
                        <w:rPr>
                          <w:rFonts w:ascii="Noto Sans" w:eastAsia="Noto Sans" w:hAnsi="Noto Sans" w:cs="Noto Sans"/>
                          <w:color w:val="000000"/>
                          <w:sz w:val="20"/>
                        </w:rPr>
                        <w:t xml:space="preserve">Ciudad de México, </w:t>
                      </w:r>
                      <w:r w:rsidR="005B55B3">
                        <w:rPr>
                          <w:rFonts w:ascii="Noto Sans" w:eastAsia="Noto Sans" w:hAnsi="Noto Sans" w:cs="Noto Sans"/>
                          <w:color w:val="000000"/>
                          <w:sz w:val="20"/>
                        </w:rPr>
                        <w:t xml:space="preserve">lunes 4 de mayo </w:t>
                      </w:r>
                      <w:r>
                        <w:rPr>
                          <w:rFonts w:ascii="Noto Sans" w:eastAsia="Noto Sans" w:hAnsi="Noto Sans" w:cs="Noto Sans"/>
                          <w:color w:val="000000"/>
                          <w:sz w:val="20"/>
                        </w:rPr>
                        <w:t xml:space="preserve">de 2026 </w:t>
                      </w:r>
                    </w:p>
                    <w:p w14:paraId="14042139" w14:textId="1DAF4E5D" w:rsidR="007C49EA" w:rsidRDefault="004C149E">
                      <w:pPr>
                        <w:spacing w:before="120" w:after="40" w:line="219" w:lineRule="auto"/>
                        <w:jc w:val="right"/>
                        <w:textDirection w:val="btLr"/>
                      </w:pPr>
                      <w:r>
                        <w:rPr>
                          <w:rFonts w:ascii="Noto Sans" w:eastAsia="Noto Sans" w:hAnsi="Noto Sans" w:cs="Noto Sans"/>
                          <w:color w:val="000000"/>
                          <w:sz w:val="20"/>
                        </w:rPr>
                        <w:t>No. 244</w:t>
                      </w:r>
                      <w:r>
                        <w:rPr>
                          <w:rFonts w:ascii="Noto Sans" w:eastAsia="Noto Sans" w:hAnsi="Noto Sans" w:cs="Noto Sans"/>
                          <w:color w:val="000000"/>
                          <w:sz w:val="20"/>
                        </w:rPr>
                        <w:t>/2026</w:t>
                      </w:r>
                    </w:p>
                    <w:p w14:paraId="7D7B358F" w14:textId="77777777" w:rsidR="007C49EA" w:rsidRDefault="007C49EA">
                      <w:pPr>
                        <w:spacing w:before="120" w:after="40" w:line="219" w:lineRule="auto"/>
                        <w:jc w:val="right"/>
                        <w:textDirection w:val="btLr"/>
                      </w:pPr>
                    </w:p>
                  </w:txbxContent>
                </v:textbox>
                <w10:wrap type="square"/>
              </v:rect>
            </w:pict>
          </mc:Fallback>
        </mc:AlternateContent>
      </w:r>
      <w:r>
        <w:rPr>
          <w:rFonts w:ascii="Geom" w:eastAsia="Geom" w:hAnsi="Geom" w:cs="Geom"/>
          <w:sz w:val="21"/>
          <w:szCs w:val="21"/>
        </w:rPr>
        <w:t xml:space="preserve"> </w:t>
      </w:r>
    </w:p>
    <w:p w14:paraId="7F4EEE50" w14:textId="77777777" w:rsidR="007C49EA" w:rsidRDefault="007C49EA">
      <w:pPr>
        <w:jc w:val="both"/>
        <w:rPr>
          <w:rFonts w:ascii="Noto Sans" w:eastAsia="Noto Sans" w:hAnsi="Noto Sans" w:cs="Noto Sans"/>
          <w:sz w:val="19"/>
          <w:szCs w:val="19"/>
        </w:rPr>
      </w:pPr>
    </w:p>
    <w:p w14:paraId="12197990" w14:textId="77777777" w:rsidR="007C49EA" w:rsidRDefault="007C49EA">
      <w:pPr>
        <w:jc w:val="both"/>
        <w:rPr>
          <w:rFonts w:ascii="Noto Sans" w:eastAsia="Noto Sans" w:hAnsi="Noto Sans" w:cs="Noto Sans"/>
          <w:sz w:val="19"/>
          <w:szCs w:val="19"/>
        </w:rPr>
      </w:pPr>
    </w:p>
    <w:p w14:paraId="76593E95" w14:textId="77777777" w:rsidR="007C49EA" w:rsidRDefault="007C49EA">
      <w:pPr>
        <w:ind w:right="-1085"/>
        <w:rPr>
          <w:rFonts w:ascii="Noto Sans" w:eastAsia="Noto Sans" w:hAnsi="Noto Sans" w:cs="Noto Sans"/>
          <w:b/>
          <w:bCs/>
        </w:rPr>
      </w:pPr>
    </w:p>
    <w:p w14:paraId="58C2DFF3" w14:textId="77777777" w:rsidR="007C49EA" w:rsidRDefault="004C149E">
      <w:pPr>
        <w:rPr>
          <w:rFonts w:ascii="Noto Sans" w:eastAsia="Noto Sans" w:hAnsi="Noto Sans" w:cs="Noto Sans"/>
          <w:b/>
          <w:bCs/>
        </w:rPr>
      </w:pPr>
      <w:r>
        <w:rPr>
          <w:rFonts w:ascii="Noto Sans" w:eastAsia="Noto Sans" w:hAnsi="Noto Sans" w:cs="Noto Sans"/>
          <w:b/>
          <w:bCs/>
        </w:rPr>
        <w:t xml:space="preserve">                                                                                                                                                   </w:t>
      </w:r>
    </w:p>
    <w:p w14:paraId="47165700" w14:textId="77777777" w:rsidR="007C49EA" w:rsidRDefault="004C149E">
      <w:pPr>
        <w:jc w:val="center"/>
        <w:rPr>
          <w:rFonts w:ascii="Noto Sans" w:eastAsia="Noto Sans" w:hAnsi="Noto Sans" w:cs="Noto Sans"/>
          <w:b/>
          <w:bCs/>
          <w:sz w:val="32"/>
          <w:szCs w:val="32"/>
        </w:rPr>
      </w:pPr>
      <w:r>
        <w:rPr>
          <w:rFonts w:ascii="Noto Sans" w:eastAsia="Noto Sans" w:hAnsi="Noto Sans" w:cs="Noto Sans"/>
          <w:b/>
          <w:bCs/>
          <w:sz w:val="32"/>
          <w:szCs w:val="32"/>
        </w:rPr>
        <w:t>IMSS impulsa detección oportuna del Síndrome de Asperger y acompañamiento familiar desde UMF</w:t>
      </w:r>
    </w:p>
    <w:p w14:paraId="3F148027" w14:textId="77777777" w:rsidR="007C49EA" w:rsidRDefault="007C49EA">
      <w:pPr>
        <w:jc w:val="center"/>
        <w:rPr>
          <w:rFonts w:ascii="Noto Sans" w:eastAsia="Noto Sans" w:hAnsi="Noto Sans" w:cs="Noto Sans"/>
          <w:b/>
          <w:bCs/>
        </w:rPr>
      </w:pPr>
    </w:p>
    <w:p w14:paraId="10853A41" w14:textId="77777777" w:rsidR="007C49EA" w:rsidRDefault="004C149E">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El doctor Francisco Paredes Cruz, coordinador de Programas Médicos de la Coordinación de Salud Mental y Adicciones, dijo que la identificación de esta condición suele ocurrir a partir de los 4 años, cuando aumentan rutinas escolares y espacios de juego con otros menores.</w:t>
      </w:r>
    </w:p>
    <w:p w14:paraId="62187A2C" w14:textId="77777777" w:rsidR="007C49EA" w:rsidRDefault="004C149E">
      <w:pPr>
        <w:numPr>
          <w:ilvl w:val="0"/>
          <w:numId w:val="1"/>
        </w:numPr>
        <w:pBdr>
          <w:top w:val="nil"/>
          <w:left w:val="nil"/>
          <w:bottom w:val="nil"/>
          <w:right w:val="nil"/>
          <w:between w:val="nil"/>
        </w:pBdr>
        <w:jc w:val="both"/>
        <w:rPr>
          <w:color w:val="000000"/>
          <w:sz w:val="20"/>
          <w:szCs w:val="20"/>
        </w:rPr>
      </w:pPr>
      <w:r>
        <w:rPr>
          <w:rFonts w:ascii="Noto Sans" w:eastAsia="Noto Sans" w:hAnsi="Noto Sans" w:cs="Noto Sans"/>
          <w:b/>
          <w:bCs/>
          <w:color w:val="000000"/>
          <w:sz w:val="20"/>
          <w:szCs w:val="20"/>
        </w:rPr>
        <w:t xml:space="preserve">Aclaró que en el Instituto no se cuenta con una cifra consolidada exclusiva de Asperger, debido a que se registra dentro del grupo de trastornos del espectro autista y de diagnósticos del neurodesarrollo. </w:t>
      </w:r>
    </w:p>
    <w:p w14:paraId="6013CA6A" w14:textId="77777777" w:rsidR="007C49EA" w:rsidRDefault="007C49EA">
      <w:pPr>
        <w:jc w:val="both"/>
        <w:rPr>
          <w:rFonts w:ascii="Noto Sans" w:eastAsia="Noto Sans" w:hAnsi="Noto Sans" w:cs="Noto Sans"/>
          <w:sz w:val="20"/>
          <w:szCs w:val="20"/>
        </w:rPr>
      </w:pPr>
    </w:p>
    <w:p w14:paraId="72493BF1"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El Instituto Mexicano del Seguro Social (IMSS) impulsa acciones para fortalecer la detección oportuna del Síndrome de Asperger desde las Unidades de Medicina Familiar (UMF), con el propósito de identificar esta condición del neurodesarrollo a edades tempranas, mejorar la calidad de vida de las personas diagnosticadas, orientar a las familias sobre intervenciones conductuales y promover la inclusión escolar y social de niñas, niños y adolescentes.</w:t>
      </w:r>
    </w:p>
    <w:p w14:paraId="7E8D7AEB" w14:textId="77777777" w:rsidR="007C49EA" w:rsidRDefault="007C49EA">
      <w:pPr>
        <w:jc w:val="both"/>
        <w:rPr>
          <w:rFonts w:ascii="Noto Sans" w:eastAsia="Noto Sans" w:hAnsi="Noto Sans" w:cs="Noto Sans"/>
          <w:sz w:val="20"/>
          <w:szCs w:val="20"/>
        </w:rPr>
      </w:pPr>
    </w:p>
    <w:p w14:paraId="14B178A5"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El doctor Francisco Paredes Cruz, coordinador de Programas Médicos de la Coordinación de Salud Mental y Adicciones del IMSS, explicó que esta condición se caracteriza por dificultades en la comunicación e interacción social, intereses intensos en temas específicos, conductas repetitivas y una marcada preferencia por rutinas, generalmente sin presentar retrasos significativos en el habla.</w:t>
      </w:r>
    </w:p>
    <w:p w14:paraId="776DFB60" w14:textId="77777777" w:rsidR="007C49EA" w:rsidRDefault="007C49EA">
      <w:pPr>
        <w:jc w:val="both"/>
        <w:rPr>
          <w:rFonts w:ascii="Noto Sans" w:eastAsia="Noto Sans" w:hAnsi="Noto Sans" w:cs="Noto Sans"/>
          <w:sz w:val="20"/>
          <w:szCs w:val="20"/>
        </w:rPr>
      </w:pPr>
    </w:p>
    <w:p w14:paraId="51517CDF"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Asimismo, destacó que el Síndrome de Asperger, integrado desde 2013 dentro de los trastornos del espectro autista (TEA), es una condición del neurodesarrollo y no una enfermedad, por lo que la atención se enfoca en adaptar el entorno y brindar acompañamiento a las familias. </w:t>
      </w:r>
    </w:p>
    <w:p w14:paraId="3E305F8A" w14:textId="77777777" w:rsidR="007C49EA" w:rsidRDefault="007C49EA">
      <w:pPr>
        <w:jc w:val="both"/>
        <w:rPr>
          <w:rFonts w:ascii="Noto Sans" w:eastAsia="Noto Sans" w:hAnsi="Noto Sans" w:cs="Noto Sans"/>
          <w:sz w:val="20"/>
          <w:szCs w:val="20"/>
        </w:rPr>
      </w:pPr>
    </w:p>
    <w:p w14:paraId="60CDF385"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El especialista del Seguro Social enfatizó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en el IMSS, la identificación suele ocurrir a partir de los 4 años, cuando aumentan las demandas de interacción por el ingreso a rutinas escolares y espacios de juego con otros menores. </w:t>
      </w:r>
    </w:p>
    <w:p w14:paraId="58040C9B" w14:textId="77777777" w:rsidR="007C49EA" w:rsidRDefault="007C49EA">
      <w:pPr>
        <w:jc w:val="both"/>
        <w:rPr>
          <w:rFonts w:ascii="Noto Sans" w:eastAsia="Noto Sans" w:hAnsi="Noto Sans" w:cs="Noto Sans"/>
          <w:sz w:val="20"/>
          <w:szCs w:val="20"/>
        </w:rPr>
      </w:pPr>
    </w:p>
    <w:p w14:paraId="2E64879A"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Subrayó que, en esa etapa, madres, padres y cuidadores suelen notar en los menores algunas diferencias en la convivencia, la interpretación literal de instrucciones, y la tendencia a aislarse o a enfocarse de manera persistente en un tema.</w:t>
      </w:r>
    </w:p>
    <w:p w14:paraId="61B2EAFF" w14:textId="77777777" w:rsidR="007C49EA" w:rsidRDefault="007C49EA">
      <w:pPr>
        <w:jc w:val="both"/>
        <w:rPr>
          <w:rFonts w:ascii="Noto Sans" w:eastAsia="Noto Sans" w:hAnsi="Noto Sans" w:cs="Noto Sans"/>
          <w:sz w:val="20"/>
          <w:szCs w:val="20"/>
        </w:rPr>
      </w:pPr>
    </w:p>
    <w:p w14:paraId="27EE207D"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Paredes Cruz precisó que las señales más comunes que pueden orientar a la identificación del Síndrome de Asperger se encuentran la interpretación literal de instrucciones, dificultades para comprender bromas, sarcasmos o juegos de palabras, así como un menor interés en convivir o jugar con otros niños. </w:t>
      </w:r>
    </w:p>
    <w:p w14:paraId="75612BCE" w14:textId="77777777" w:rsidR="007C49EA" w:rsidRDefault="007C49EA">
      <w:pPr>
        <w:jc w:val="both"/>
        <w:rPr>
          <w:rFonts w:ascii="Noto Sans" w:eastAsia="Noto Sans" w:hAnsi="Noto Sans" w:cs="Noto Sans"/>
          <w:sz w:val="20"/>
          <w:szCs w:val="20"/>
        </w:rPr>
      </w:pPr>
    </w:p>
    <w:p w14:paraId="2BDA7A38"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También, dijo, pueden presentarse intereses muy específicos y persistentes en un solo tema, conductas repetitivas como la ecolalia, marcada preferencia por rutinas con resistencia o ansiedad ante cambios, y una sensibilidad elevada a estímulos como ruidos intensos o luces brillantes. Estas características pueden variar en intensidad, pero su presencia conjunta justifica buscar orientación en unidades médicas especializadas. </w:t>
      </w:r>
    </w:p>
    <w:p w14:paraId="778F7DE6" w14:textId="77777777" w:rsidR="007C49EA" w:rsidRDefault="007C49EA">
      <w:pPr>
        <w:jc w:val="both"/>
        <w:rPr>
          <w:rFonts w:ascii="Noto Sans" w:eastAsia="Noto Sans" w:hAnsi="Noto Sans" w:cs="Noto Sans"/>
          <w:sz w:val="20"/>
          <w:szCs w:val="20"/>
        </w:rPr>
      </w:pPr>
    </w:p>
    <w:p w14:paraId="56DDCC4D"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Respecto a la magnitud de la atención en el Seguro Social, el doctor Paredes Cruz aclaró que en el Instituto no se cuenta con una cifra consolidada exclusiva de Asperger, debido a que se registra dentro del grupo de TEA y de diagnósticos del neurodesarrollo. </w:t>
      </w:r>
    </w:p>
    <w:p w14:paraId="15F3879B" w14:textId="77777777" w:rsidR="007C49EA" w:rsidRDefault="007C49EA">
      <w:pPr>
        <w:jc w:val="both"/>
        <w:rPr>
          <w:rFonts w:ascii="Noto Sans" w:eastAsia="Noto Sans" w:hAnsi="Noto Sans" w:cs="Noto Sans"/>
          <w:sz w:val="20"/>
          <w:szCs w:val="20"/>
        </w:rPr>
      </w:pPr>
    </w:p>
    <w:p w14:paraId="3AA612C9"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El doctor Paredes Cruz destacó que el diagnóstico oportuno favorece la comprensión familiar y escolar, reduce el estigma y facilita estrategias de crianza y convivencia, sin suponer un deterioro cognitivo en el caso del Asperger. </w:t>
      </w:r>
    </w:p>
    <w:p w14:paraId="102B7BD2" w14:textId="77777777" w:rsidR="007C49EA" w:rsidRDefault="007C49EA">
      <w:pPr>
        <w:jc w:val="both"/>
        <w:rPr>
          <w:rFonts w:ascii="Noto Sans" w:eastAsia="Noto Sans" w:hAnsi="Noto Sans" w:cs="Noto Sans"/>
          <w:sz w:val="20"/>
          <w:szCs w:val="20"/>
        </w:rPr>
      </w:pPr>
    </w:p>
    <w:p w14:paraId="6F39CFBF"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“Es importante hacer notar que los niños con el diagnóstico del espectro autista y en particular con el Asperger no tienen un deterioro cognitivo. En el caso de estos niños con Asperger, su inteligencia no está alterada”, explicó. </w:t>
      </w:r>
    </w:p>
    <w:p w14:paraId="17E3D5E3" w14:textId="77777777" w:rsidR="007C49EA" w:rsidRDefault="007C49EA">
      <w:pPr>
        <w:jc w:val="both"/>
        <w:rPr>
          <w:rFonts w:ascii="Noto Sans" w:eastAsia="Noto Sans" w:hAnsi="Noto Sans" w:cs="Noto Sans"/>
          <w:sz w:val="20"/>
          <w:szCs w:val="20"/>
        </w:rPr>
      </w:pPr>
    </w:p>
    <w:p w14:paraId="1A9136EA"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Abundó que la ruta de atención inicia en la UMF, donde el personal médico identifica signos de alerta y, de ser necesario, refiere a Segundo Nivel para valoración por Pediatría, Neurología o Psicología; en casos seleccionados, el Instituto canaliza a Psiquiatría o Psiquiatría Infantil y de Adolescente. </w:t>
      </w:r>
    </w:p>
    <w:p w14:paraId="4FF4737E" w14:textId="77777777" w:rsidR="007C49EA" w:rsidRDefault="007C49EA">
      <w:pPr>
        <w:jc w:val="both"/>
        <w:rPr>
          <w:rFonts w:ascii="Noto Sans" w:eastAsia="Noto Sans" w:hAnsi="Noto Sans" w:cs="Noto Sans"/>
          <w:sz w:val="20"/>
          <w:szCs w:val="20"/>
        </w:rPr>
      </w:pPr>
    </w:p>
    <w:p w14:paraId="6FFF835C"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El especialista de la Coordinación de Salud Mental y Adicciones del IMSS remarcó que la intervención se centra en el niño, la familia y el entorno escolar; el tratamiento farmacológico se reserva para situaciones específicas como ansiedad marcada, problemas severos de conducta o alteraciones del sueño.</w:t>
      </w:r>
    </w:p>
    <w:p w14:paraId="385F516A" w14:textId="77777777" w:rsidR="007C49EA" w:rsidRDefault="007C49EA">
      <w:pPr>
        <w:jc w:val="both"/>
        <w:rPr>
          <w:rFonts w:ascii="Noto Sans" w:eastAsia="Noto Sans" w:hAnsi="Noto Sans" w:cs="Noto Sans"/>
          <w:sz w:val="20"/>
          <w:szCs w:val="20"/>
        </w:rPr>
      </w:pPr>
    </w:p>
    <w:p w14:paraId="3BC3260D" w14:textId="77777777" w:rsidR="007C49EA" w:rsidRDefault="004C149E">
      <w:pPr>
        <w:jc w:val="both"/>
        <w:rPr>
          <w:rFonts w:ascii="Noto Sans" w:eastAsia="Noto Sans" w:hAnsi="Noto Sans" w:cs="Noto Sans"/>
          <w:sz w:val="20"/>
          <w:szCs w:val="20"/>
        </w:rPr>
      </w:pPr>
      <w:r>
        <w:rPr>
          <w:rFonts w:ascii="Noto Sans" w:eastAsia="Noto Sans" w:hAnsi="Noto Sans" w:cs="Noto Sans"/>
          <w:sz w:val="20"/>
          <w:szCs w:val="20"/>
        </w:rPr>
        <w:t xml:space="preserve">Finalmente, el doctor Francisco Paredes llamó a madres, padres y docentes a reconocer señales tempranas y solicitar orientación profesional. “Si necesitan en algún momento, si tienen alguna duda, no duden en acudir a su Unidad de Medicina Familiar para poder recibir la orientación necesaria y en su caso poder ser derivado a las intervenciones que requiera”. </w:t>
      </w:r>
    </w:p>
    <w:p w14:paraId="489792B2" w14:textId="77777777" w:rsidR="007C49EA" w:rsidRDefault="007C49EA">
      <w:pPr>
        <w:ind w:left="708" w:hanging="708"/>
        <w:rPr>
          <w:rFonts w:ascii="Noto Sans" w:eastAsia="Noto Sans" w:hAnsi="Noto Sans" w:cs="Noto Sans"/>
          <w:sz w:val="20"/>
          <w:szCs w:val="20"/>
        </w:rPr>
      </w:pPr>
    </w:p>
    <w:p w14:paraId="79E3858F" w14:textId="77777777" w:rsidR="007C49EA" w:rsidRDefault="004C149E">
      <w:pPr>
        <w:jc w:val="center"/>
        <w:rPr>
          <w:rFonts w:ascii="Noto Sans" w:eastAsia="Noto Sans" w:hAnsi="Noto Sans" w:cs="Noto Sans"/>
          <w:sz w:val="22"/>
          <w:szCs w:val="22"/>
        </w:rPr>
      </w:pPr>
      <w:r>
        <w:rPr>
          <w:rFonts w:ascii="Noto Sans" w:eastAsia="Noto Sans" w:hAnsi="Noto Sans" w:cs="Noto Sans"/>
          <w:b/>
          <w:bCs/>
          <w:sz w:val="20"/>
          <w:szCs w:val="20"/>
        </w:rPr>
        <w:t>---o0o---</w:t>
      </w:r>
    </w:p>
    <w:sectPr w:rsidR="007C49EA">
      <w:headerReference w:type="default" r:id="rId7"/>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DC7E2" w14:textId="77777777" w:rsidR="0013739E" w:rsidRDefault="0013739E">
      <w:r>
        <w:separator/>
      </w:r>
    </w:p>
  </w:endnote>
  <w:endnote w:type="continuationSeparator" w:id="0">
    <w:p w14:paraId="25072492" w14:textId="77777777" w:rsidR="0013739E" w:rsidRDefault="00137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C18B26D-D841-4526-A528-22F34D2C9C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2" w:fontKey="{2408D378-7B5A-4F1A-9DA8-19B176DD9055}"/>
    <w:embedBold r:id="rId3" w:fontKey="{4E2AE98C-57DF-46EA-9DD6-6A7BBCEEA0F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18C0BD2-B7C6-4B94-B398-9D6449E9795D}"/>
  </w:font>
  <w:font w:name="Noto Sans">
    <w:charset w:val="00"/>
    <w:family w:val="swiss"/>
    <w:pitch w:val="variable"/>
    <w:sig w:usb0="E00082FF" w:usb1="400078FF" w:usb2="00000021" w:usb3="00000000" w:csb0="0000019F" w:csb1="00000000"/>
    <w:embedRegular r:id="rId5" w:fontKey="{C065CD46-F748-4FC3-AFB6-CDA2465AE4A8}"/>
    <w:embedBold r:id="rId6" w:fontKey="{1B6F4AFA-DAA4-4B97-9ADC-8FCE933EAD70}"/>
  </w:font>
  <w:font w:name="Geom">
    <w:charset w:val="00"/>
    <w:family w:val="auto"/>
    <w:pitch w:val="default"/>
    <w:embedRegular r:id="rId7" w:fontKey="{951A49B8-245D-4556-9BF6-29B297F90D2F}"/>
  </w:font>
  <w:font w:name="Cambria">
    <w:panose1 w:val="02040503050406030204"/>
    <w:charset w:val="00"/>
    <w:family w:val="roman"/>
    <w:pitch w:val="variable"/>
    <w:sig w:usb0="E00006FF" w:usb1="420024FF" w:usb2="02000000" w:usb3="00000000" w:csb0="0000019F" w:csb1="00000000"/>
    <w:embedRegular r:id="rId8" w:fontKey="{DCB039E7-39DC-4E04-9572-9E2AB7DE7F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4FF8B" w14:textId="77777777" w:rsidR="0013739E" w:rsidRDefault="0013739E">
      <w:r>
        <w:separator/>
      </w:r>
    </w:p>
  </w:footnote>
  <w:footnote w:type="continuationSeparator" w:id="0">
    <w:p w14:paraId="0B7D472A" w14:textId="77777777" w:rsidR="0013739E" w:rsidRDefault="00137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FE01" w14:textId="77777777" w:rsidR="007C49EA" w:rsidRDefault="004C149E">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2E3BDDA2" wp14:editId="49B253EC">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98275F"/>
    <w:multiLevelType w:val="multilevel"/>
    <w:tmpl w:val="481CF27E"/>
    <w:lvl w:ilvl="0">
      <w:start w:val="1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4751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9EA"/>
    <w:rsid w:val="0013739E"/>
    <w:rsid w:val="00377C45"/>
    <w:rsid w:val="003F6B1B"/>
    <w:rsid w:val="004C149E"/>
    <w:rsid w:val="005B55B3"/>
    <w:rsid w:val="007C4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9BA29"/>
  <w15:docId w15:val="{F9D11A00-CB27-42CD-BD27-3FF53C06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733</Words>
  <Characters>4036</Characters>
  <Application>Microsoft Office Word</Application>
  <DocSecurity>0</DocSecurity>
  <Lines>33</Lines>
  <Paragraphs>9</Paragraphs>
  <ScaleCrop>false</ScaleCrop>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2026-05-04T21:06:00Z</dcterms:created>
  <dcterms:modified xsi:type="dcterms:W3CDTF">2026-05-04T21:06:00Z</dcterms:modified>
</cp:coreProperties>
</file>