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85DA9" w14:textId="1ED11843" w:rsidR="0026080B" w:rsidRDefault="0017199E">
      <w:pPr>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113D2D52" wp14:editId="4D215B84">
                <wp:simplePos x="0" y="0"/>
                <wp:positionH relativeFrom="column">
                  <wp:posOffset>2366010</wp:posOffset>
                </wp:positionH>
                <wp:positionV relativeFrom="paragraph">
                  <wp:posOffset>0</wp:posOffset>
                </wp:positionV>
                <wp:extent cx="3845560" cy="819150"/>
                <wp:effectExtent l="0" t="0" r="254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845560" cy="819150"/>
                        </a:xfrm>
                        <a:prstGeom prst="rect">
                          <a:avLst/>
                        </a:prstGeom>
                        <a:noFill/>
                        <a:ln>
                          <a:noFill/>
                        </a:ln>
                      </wps:spPr>
                      <wps:txbx>
                        <w:txbxContent>
                          <w:p w14:paraId="79A2954A" w14:textId="77777777" w:rsidR="0026080B" w:rsidRDefault="00995B78">
                            <w:pPr>
                              <w:spacing w:before="120" w:after="40" w:line="219" w:lineRule="auto"/>
                              <w:jc w:val="right"/>
                              <w:textDirection w:val="btLr"/>
                            </w:pPr>
                            <w:r>
                              <w:rPr>
                                <w:rFonts w:ascii="Noto Sans" w:eastAsia="Noto Sans" w:hAnsi="Noto Sans" w:cs="Noto Sans"/>
                                <w:color w:val="BA8C54"/>
                                <w:sz w:val="28"/>
                              </w:rPr>
                              <w:t>BOLETÍN DE PRENSA</w:t>
                            </w:r>
                          </w:p>
                          <w:p w14:paraId="6D463336" w14:textId="77777777" w:rsidR="0026080B" w:rsidRDefault="00995B78">
                            <w:pPr>
                              <w:spacing w:before="120" w:after="40" w:line="219" w:lineRule="auto"/>
                              <w:jc w:val="right"/>
                              <w:textDirection w:val="btLr"/>
                            </w:pPr>
                            <w:r>
                              <w:rPr>
                                <w:rFonts w:ascii="Noto Sans" w:eastAsia="Noto Sans" w:hAnsi="Noto Sans" w:cs="Noto Sans"/>
                                <w:color w:val="000000"/>
                                <w:sz w:val="20"/>
                              </w:rPr>
                              <w:t xml:space="preserve">Coatzacoalcos, Veracruz, a XX de marzo de 2026 </w:t>
                            </w:r>
                          </w:p>
                          <w:p w14:paraId="39279E39" w14:textId="65A45400" w:rsidR="0026080B" w:rsidRDefault="00995B78">
                            <w:pPr>
                              <w:spacing w:before="120" w:after="40" w:line="219" w:lineRule="auto"/>
                              <w:jc w:val="right"/>
                              <w:textDirection w:val="btLr"/>
                            </w:pPr>
                            <w:r>
                              <w:rPr>
                                <w:rFonts w:ascii="Noto Sans" w:eastAsia="Noto Sans" w:hAnsi="Noto Sans" w:cs="Noto Sans"/>
                                <w:color w:val="000000"/>
                                <w:sz w:val="20"/>
                              </w:rPr>
                              <w:t xml:space="preserve">No. </w:t>
                            </w:r>
                            <w:r w:rsidR="00D621BE">
                              <w:rPr>
                                <w:rFonts w:ascii="Noto Sans" w:eastAsia="Noto Sans" w:hAnsi="Noto Sans" w:cs="Noto Sans"/>
                                <w:color w:val="000000"/>
                                <w:sz w:val="20"/>
                              </w:rPr>
                              <w:t>207</w:t>
                            </w:r>
                            <w:r>
                              <w:rPr>
                                <w:rFonts w:ascii="Noto Sans" w:eastAsia="Noto Sans" w:hAnsi="Noto Sans" w:cs="Noto Sans"/>
                                <w:color w:val="000000"/>
                                <w:sz w:val="20"/>
                              </w:rPr>
                              <w:t>/2026</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13D2D52" id="Rectángulo 1" o:spid="_x0000_s1026" style="position:absolute;left:0;text-align:left;margin-left:186.3pt;margin-top:0;width:302.8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" filled="f" stroked="f">
                <v:textbox inset="0,0,0,0">
                  <w:txbxContent>
                    <w:p w14:paraId="79A2954A" w14:textId="77777777" w:rsidR="0026080B" w:rsidRDefault="00995B78">
                      <w:pPr>
                        <w:spacing w:before="120" w:after="40" w:line="219" w:lineRule="auto"/>
                        <w:jc w:val="right"/>
                        <w:textDirection w:val="btLr"/>
                      </w:pPr>
                      <w:r>
                        <w:rPr>
                          <w:rFonts w:ascii="Noto Sans" w:eastAsia="Noto Sans" w:hAnsi="Noto Sans" w:cs="Noto Sans"/>
                          <w:color w:val="BA8C54"/>
                          <w:sz w:val="28"/>
                        </w:rPr>
                        <w:t>BOLETÍN DE PRENSA</w:t>
                      </w:r>
                    </w:p>
                    <w:p w14:paraId="6D463336" w14:textId="77777777" w:rsidR="0026080B" w:rsidRDefault="00995B78">
                      <w:pPr>
                        <w:spacing w:before="120" w:after="40" w:line="219" w:lineRule="auto"/>
                        <w:jc w:val="right"/>
                        <w:textDirection w:val="btLr"/>
                      </w:pPr>
                      <w:r>
                        <w:rPr>
                          <w:rFonts w:ascii="Noto Sans" w:eastAsia="Noto Sans" w:hAnsi="Noto Sans" w:cs="Noto Sans"/>
                          <w:color w:val="000000"/>
                          <w:sz w:val="20"/>
                        </w:rPr>
                        <w:t xml:space="preserve">Coatzacoalcos, Veracruz, a XX de marzo de 2026 </w:t>
                      </w:r>
                    </w:p>
                    <w:p w14:paraId="39279E39" w14:textId="65A45400" w:rsidR="0026080B" w:rsidRDefault="00995B78">
                      <w:pPr>
                        <w:spacing w:before="120" w:after="40" w:line="219" w:lineRule="auto"/>
                        <w:jc w:val="right"/>
                        <w:textDirection w:val="btLr"/>
                      </w:pPr>
                      <w:r>
                        <w:rPr>
                          <w:rFonts w:ascii="Noto Sans" w:eastAsia="Noto Sans" w:hAnsi="Noto Sans" w:cs="Noto Sans"/>
                          <w:color w:val="000000"/>
                          <w:sz w:val="20"/>
                        </w:rPr>
                        <w:t xml:space="preserve">No. </w:t>
                      </w:r>
                      <w:r w:rsidR="00D621BE">
                        <w:rPr>
                          <w:rFonts w:ascii="Noto Sans" w:eastAsia="Noto Sans" w:hAnsi="Noto Sans" w:cs="Noto Sans"/>
                          <w:color w:val="000000"/>
                          <w:sz w:val="20"/>
                        </w:rPr>
                        <w:t>207</w:t>
                      </w:r>
                      <w:r>
                        <w:rPr>
                          <w:rFonts w:ascii="Noto Sans" w:eastAsia="Noto Sans" w:hAnsi="Noto Sans" w:cs="Noto Sans"/>
                          <w:color w:val="000000"/>
                          <w:sz w:val="20"/>
                        </w:rPr>
                        <w:t>/2026</w:t>
                      </w:r>
                    </w:p>
                  </w:txbxContent>
                </v:textbox>
                <w10:wrap type="square"/>
              </v:rect>
            </w:pict>
          </mc:Fallback>
        </mc:AlternateContent>
      </w:r>
      <w:r>
        <w:rPr>
          <w:rFonts w:ascii="Geom" w:eastAsia="Geom" w:hAnsi="Geom" w:cs="Geom"/>
          <w:sz w:val="21"/>
          <w:szCs w:val="21"/>
        </w:rPr>
        <w:t xml:space="preserve"> </w:t>
      </w:r>
    </w:p>
    <w:p w14:paraId="737E21C4" w14:textId="77777777" w:rsidR="0026080B" w:rsidRDefault="0026080B">
      <w:pPr>
        <w:jc w:val="both"/>
        <w:rPr>
          <w:rFonts w:ascii="Noto Sans" w:eastAsia="Noto Sans" w:hAnsi="Noto Sans" w:cs="Noto Sans"/>
          <w:sz w:val="19"/>
          <w:szCs w:val="19"/>
        </w:rPr>
      </w:pPr>
    </w:p>
    <w:p w14:paraId="48E24255" w14:textId="77777777" w:rsidR="0026080B" w:rsidRDefault="0026080B">
      <w:pPr>
        <w:jc w:val="both"/>
        <w:rPr>
          <w:rFonts w:ascii="Noto Sans" w:eastAsia="Noto Sans" w:hAnsi="Noto Sans" w:cs="Noto Sans"/>
          <w:sz w:val="19"/>
          <w:szCs w:val="19"/>
        </w:rPr>
      </w:pPr>
    </w:p>
    <w:p w14:paraId="2B178089" w14:textId="77777777" w:rsidR="0026080B" w:rsidRDefault="0026080B">
      <w:pPr>
        <w:jc w:val="center"/>
        <w:rPr>
          <w:rFonts w:ascii="Noto Sans" w:eastAsia="Noto Sans" w:hAnsi="Noto Sans" w:cs="Noto Sans"/>
          <w:b/>
          <w:bCs/>
          <w:sz w:val="32"/>
          <w:szCs w:val="32"/>
        </w:rPr>
      </w:pPr>
    </w:p>
    <w:p w14:paraId="4BACCE12" w14:textId="77777777" w:rsidR="0017199E" w:rsidRDefault="0017199E">
      <w:pPr>
        <w:ind w:right="49"/>
        <w:jc w:val="center"/>
        <w:rPr>
          <w:rFonts w:ascii="Noto Sans" w:eastAsia="Noto Sans" w:hAnsi="Noto Sans" w:cs="Noto Sans"/>
          <w:b/>
          <w:bCs/>
          <w:sz w:val="34"/>
          <w:szCs w:val="34"/>
        </w:rPr>
      </w:pPr>
    </w:p>
    <w:p w14:paraId="3FAAD073" w14:textId="4A08B8F8" w:rsidR="0026080B" w:rsidRDefault="00995B78">
      <w:pPr>
        <w:ind w:right="49"/>
        <w:jc w:val="center"/>
        <w:rPr>
          <w:rFonts w:ascii="Noto Sans" w:eastAsia="Noto Sans" w:hAnsi="Noto Sans" w:cs="Noto Sans"/>
          <w:b/>
          <w:bCs/>
          <w:sz w:val="34"/>
          <w:szCs w:val="34"/>
        </w:rPr>
      </w:pPr>
      <w:r>
        <w:rPr>
          <w:rFonts w:ascii="Noto Sans" w:eastAsia="Noto Sans" w:hAnsi="Noto Sans" w:cs="Noto Sans"/>
          <w:b/>
          <w:bCs/>
          <w:sz w:val="34"/>
          <w:szCs w:val="34"/>
        </w:rPr>
        <w:t>Realizan cirugía maxilofacial de alta especialidad en el Hospital General de Zona No. 36 del IMSS Veracruz</w:t>
      </w:r>
    </w:p>
    <w:p w14:paraId="170BACF6" w14:textId="77777777" w:rsidR="0026080B" w:rsidRDefault="0026080B">
      <w:pPr>
        <w:ind w:right="49"/>
        <w:rPr>
          <w:rFonts w:ascii="Noto Sans" w:eastAsia="Noto Sans" w:hAnsi="Noto Sans" w:cs="Noto Sans"/>
          <w:b/>
          <w:bCs/>
          <w:sz w:val="20"/>
          <w:szCs w:val="20"/>
        </w:rPr>
      </w:pPr>
    </w:p>
    <w:p w14:paraId="35F72366" w14:textId="77777777" w:rsidR="0026080B" w:rsidRDefault="00995B78">
      <w:pPr>
        <w:numPr>
          <w:ilvl w:val="0"/>
          <w:numId w:val="1"/>
        </w:numPr>
        <w:pBdr>
          <w:top w:val="nil"/>
          <w:left w:val="nil"/>
          <w:bottom w:val="nil"/>
          <w:right w:val="nil"/>
          <w:between w:val="nil"/>
        </w:pBdr>
        <w:ind w:hanging="360"/>
        <w:jc w:val="both"/>
        <w:rPr>
          <w:b/>
          <w:bCs/>
          <w:color w:val="000000"/>
          <w:sz w:val="20"/>
          <w:szCs w:val="20"/>
        </w:rPr>
      </w:pPr>
      <w:r>
        <w:rPr>
          <w:rFonts w:ascii="Noto Sans" w:eastAsia="Noto Sans" w:hAnsi="Noto Sans" w:cs="Noto Sans"/>
          <w:b/>
          <w:bCs/>
          <w:color w:val="000000"/>
          <w:sz w:val="20"/>
          <w:szCs w:val="20"/>
        </w:rPr>
        <w:t xml:space="preserve">Especialistas realizaron con éxito una compleja cirugía para tratar un </w:t>
      </w:r>
      <w:proofErr w:type="spellStart"/>
      <w:r>
        <w:rPr>
          <w:rFonts w:ascii="Noto Sans" w:eastAsia="Noto Sans" w:hAnsi="Noto Sans" w:cs="Noto Sans"/>
          <w:b/>
          <w:bCs/>
          <w:color w:val="000000"/>
          <w:sz w:val="20"/>
          <w:szCs w:val="20"/>
        </w:rPr>
        <w:t>ameloblastoma</w:t>
      </w:r>
      <w:proofErr w:type="spellEnd"/>
      <w:r>
        <w:rPr>
          <w:rFonts w:ascii="Noto Sans" w:eastAsia="Noto Sans" w:hAnsi="Noto Sans" w:cs="Noto Sans"/>
          <w:b/>
          <w:bCs/>
          <w:color w:val="000000"/>
          <w:sz w:val="20"/>
          <w:szCs w:val="20"/>
        </w:rPr>
        <w:t xml:space="preserve"> mandibular de dos años de evolución a un paciente de 46 años.</w:t>
      </w:r>
    </w:p>
    <w:p w14:paraId="6515C536" w14:textId="77777777" w:rsidR="0026080B" w:rsidRDefault="00995B78">
      <w:pPr>
        <w:numPr>
          <w:ilvl w:val="0"/>
          <w:numId w:val="1"/>
        </w:numPr>
        <w:pBdr>
          <w:top w:val="nil"/>
          <w:left w:val="nil"/>
          <w:bottom w:val="nil"/>
          <w:right w:val="nil"/>
          <w:between w:val="nil"/>
        </w:pBdr>
        <w:ind w:hanging="360"/>
        <w:jc w:val="both"/>
        <w:rPr>
          <w:b/>
          <w:bCs/>
          <w:color w:val="000000"/>
          <w:sz w:val="20"/>
          <w:szCs w:val="20"/>
        </w:rPr>
      </w:pPr>
      <w:r>
        <w:rPr>
          <w:rFonts w:ascii="Noto Sans" w:eastAsia="Noto Sans" w:hAnsi="Noto Sans" w:cs="Noto Sans"/>
          <w:b/>
          <w:bCs/>
          <w:color w:val="000000"/>
          <w:sz w:val="20"/>
          <w:szCs w:val="20"/>
        </w:rPr>
        <w:t>Con el trabajo multidisciplinario y al uso de tecnología en tercera dimensión, la cirugía del paciente fue exitosa y se encuentra estable.</w:t>
      </w:r>
    </w:p>
    <w:p w14:paraId="0F3B9B8F" w14:textId="77777777" w:rsidR="0026080B" w:rsidRDefault="0026080B">
      <w:pPr>
        <w:ind w:left="-567" w:right="-801"/>
        <w:jc w:val="both"/>
        <w:rPr>
          <w:rFonts w:ascii="Noto Sans" w:eastAsia="Noto Sans" w:hAnsi="Noto Sans" w:cs="Noto Sans"/>
          <w:sz w:val="22"/>
          <w:szCs w:val="22"/>
        </w:rPr>
      </w:pPr>
    </w:p>
    <w:p w14:paraId="7CCB88D9" w14:textId="77777777" w:rsidR="0026080B" w:rsidRDefault="00995B78">
      <w:pPr>
        <w:ind w:right="49"/>
        <w:jc w:val="both"/>
        <w:rPr>
          <w:rFonts w:ascii="Noto Sans" w:eastAsia="Noto Sans" w:hAnsi="Noto Sans" w:cs="Noto Sans"/>
          <w:sz w:val="20"/>
          <w:szCs w:val="20"/>
        </w:rPr>
      </w:pPr>
      <w:r>
        <w:rPr>
          <w:rFonts w:ascii="Noto Sans" w:eastAsia="Noto Sans" w:hAnsi="Noto Sans" w:cs="Noto Sans"/>
          <w:sz w:val="20"/>
          <w:szCs w:val="20"/>
        </w:rPr>
        <w:t>Especialistas del Hospital General de Zona (HGZ) No. 36 del Instituto Mexicano del Seguro Social (IMSS) en Veracruz Sur llevaron a cabo una cirugía de alta complejidad para devolver la calidad de vida a un paciente de 46 años que presentaba un tumor mandibular con casi dos años de evolución.</w:t>
      </w:r>
    </w:p>
    <w:p w14:paraId="274DED1C" w14:textId="77777777" w:rsidR="0026080B" w:rsidRDefault="0026080B">
      <w:pPr>
        <w:ind w:right="49"/>
        <w:jc w:val="both"/>
        <w:rPr>
          <w:rFonts w:ascii="Noto Sans" w:eastAsia="Noto Sans" w:hAnsi="Noto Sans" w:cs="Noto Sans"/>
          <w:sz w:val="20"/>
          <w:szCs w:val="20"/>
        </w:rPr>
      </w:pPr>
    </w:p>
    <w:p w14:paraId="738E23CF" w14:textId="77777777" w:rsidR="0026080B" w:rsidRDefault="00995B78">
      <w:pPr>
        <w:ind w:right="49"/>
        <w:jc w:val="both"/>
        <w:rPr>
          <w:rFonts w:ascii="Noto Sans" w:eastAsia="Noto Sans" w:hAnsi="Noto Sans" w:cs="Noto Sans"/>
          <w:sz w:val="20"/>
          <w:szCs w:val="20"/>
        </w:rPr>
      </w:pPr>
      <w:r>
        <w:rPr>
          <w:rFonts w:ascii="Noto Sans" w:eastAsia="Noto Sans" w:hAnsi="Noto Sans" w:cs="Noto Sans"/>
          <w:sz w:val="20"/>
          <w:szCs w:val="20"/>
        </w:rPr>
        <w:t xml:space="preserve">El cirujano maxilofacial del HGZ No. 36, doctor Carlos Constantino Méndez, explicó que el paciente fue atendido en este nosocomio con una tumoración en el cuerpo y la rama mandibular derecha, diagnosticada como </w:t>
      </w:r>
      <w:proofErr w:type="spellStart"/>
      <w:r>
        <w:rPr>
          <w:rFonts w:ascii="Noto Sans" w:eastAsia="Noto Sans" w:hAnsi="Noto Sans" w:cs="Noto Sans"/>
          <w:sz w:val="20"/>
          <w:szCs w:val="20"/>
        </w:rPr>
        <w:t>ameloblastoma</w:t>
      </w:r>
      <w:proofErr w:type="spellEnd"/>
      <w:r>
        <w:rPr>
          <w:rFonts w:ascii="Noto Sans" w:eastAsia="Noto Sans" w:hAnsi="Noto Sans" w:cs="Noto Sans"/>
          <w:sz w:val="20"/>
          <w:szCs w:val="20"/>
        </w:rPr>
        <w:t xml:space="preserve">, uno de los tumores benignos más frecuentes en la mandíbula, caracterizado por su crecimiento rápido y expansivo. </w:t>
      </w:r>
    </w:p>
    <w:p w14:paraId="2F00B7D5" w14:textId="77777777" w:rsidR="0026080B" w:rsidRDefault="0026080B">
      <w:pPr>
        <w:ind w:right="49"/>
        <w:jc w:val="both"/>
        <w:rPr>
          <w:rFonts w:ascii="Noto Sans" w:eastAsia="Noto Sans" w:hAnsi="Noto Sans" w:cs="Noto Sans"/>
          <w:sz w:val="20"/>
          <w:szCs w:val="20"/>
        </w:rPr>
      </w:pPr>
    </w:p>
    <w:p w14:paraId="49993521" w14:textId="77777777" w:rsidR="0026080B" w:rsidRDefault="00995B78">
      <w:pPr>
        <w:ind w:right="49"/>
        <w:jc w:val="both"/>
        <w:rPr>
          <w:rFonts w:ascii="Noto Sans" w:eastAsia="Noto Sans" w:hAnsi="Noto Sans" w:cs="Noto Sans"/>
          <w:sz w:val="20"/>
          <w:szCs w:val="20"/>
        </w:rPr>
      </w:pPr>
      <w:r>
        <w:rPr>
          <w:rFonts w:ascii="Noto Sans" w:eastAsia="Noto Sans" w:hAnsi="Noto Sans" w:cs="Noto Sans"/>
          <w:sz w:val="20"/>
          <w:szCs w:val="20"/>
        </w:rPr>
        <w:t xml:space="preserve">Explicó que esta condición puede provocar deformidad facial, dificultad para masticar y deglutir, además de afectar de manera importante la autoestima y la vida social de quien la padece. Ante este panorama, el equipo médico del IMSS Veracruz determinó efectuar una resección mandibular y en el mismo tiempo quirúrgico, la colocación de una placa de reconstrucción de titanio. </w:t>
      </w:r>
    </w:p>
    <w:p w14:paraId="15980929" w14:textId="77777777" w:rsidR="0026080B" w:rsidRDefault="0026080B">
      <w:pPr>
        <w:ind w:right="49"/>
        <w:jc w:val="both"/>
        <w:rPr>
          <w:rFonts w:ascii="Noto Sans" w:eastAsia="Noto Sans" w:hAnsi="Noto Sans" w:cs="Noto Sans"/>
          <w:sz w:val="20"/>
          <w:szCs w:val="20"/>
        </w:rPr>
      </w:pPr>
    </w:p>
    <w:p w14:paraId="04A41907" w14:textId="77777777" w:rsidR="0026080B" w:rsidRDefault="00995B78">
      <w:pPr>
        <w:ind w:right="49"/>
        <w:jc w:val="both"/>
        <w:rPr>
          <w:rFonts w:ascii="Noto Sans" w:eastAsia="Noto Sans" w:hAnsi="Noto Sans" w:cs="Noto Sans"/>
          <w:sz w:val="20"/>
          <w:szCs w:val="20"/>
        </w:rPr>
      </w:pPr>
      <w:r>
        <w:rPr>
          <w:rFonts w:ascii="Noto Sans" w:eastAsia="Noto Sans" w:hAnsi="Noto Sans" w:cs="Noto Sans"/>
          <w:sz w:val="20"/>
          <w:szCs w:val="20"/>
        </w:rPr>
        <w:t>Detalló que la cirugía tuvo una duración aproximada de cinco horas y requirió la coordinación estrecha de especialidades como Anestesiología, Cuidados Intensivos y Otorrinolaringología, que consolidó un abordaje multidisciplinario enfocado en la seguridad del paciente.</w:t>
      </w:r>
    </w:p>
    <w:p w14:paraId="2660DEB0" w14:textId="77777777" w:rsidR="0026080B" w:rsidRDefault="0026080B">
      <w:pPr>
        <w:ind w:right="49"/>
        <w:jc w:val="both"/>
        <w:rPr>
          <w:rFonts w:ascii="Noto Sans" w:eastAsia="Noto Sans" w:hAnsi="Noto Sans" w:cs="Noto Sans"/>
          <w:sz w:val="20"/>
          <w:szCs w:val="20"/>
        </w:rPr>
      </w:pPr>
    </w:p>
    <w:p w14:paraId="6D4BC1CE" w14:textId="77777777" w:rsidR="0026080B" w:rsidRDefault="00995B78">
      <w:pPr>
        <w:ind w:right="49"/>
        <w:jc w:val="both"/>
        <w:rPr>
          <w:rFonts w:ascii="Noto Sans" w:eastAsia="Noto Sans" w:hAnsi="Noto Sans" w:cs="Noto Sans"/>
          <w:sz w:val="20"/>
          <w:szCs w:val="20"/>
        </w:rPr>
      </w:pPr>
      <w:r>
        <w:rPr>
          <w:rFonts w:ascii="Noto Sans" w:eastAsia="Noto Sans" w:hAnsi="Noto Sans" w:cs="Noto Sans"/>
          <w:sz w:val="20"/>
          <w:szCs w:val="20"/>
        </w:rPr>
        <w:t xml:space="preserve">Dijo que para lograr mayor precisión se utilizaron modelos </w:t>
      </w:r>
      <w:proofErr w:type="spellStart"/>
      <w:r>
        <w:rPr>
          <w:rFonts w:ascii="Noto Sans" w:eastAsia="Noto Sans" w:hAnsi="Noto Sans" w:cs="Noto Sans"/>
          <w:sz w:val="20"/>
          <w:szCs w:val="20"/>
        </w:rPr>
        <w:t>estereolitográficos</w:t>
      </w:r>
      <w:proofErr w:type="spellEnd"/>
      <w:r>
        <w:rPr>
          <w:rFonts w:ascii="Noto Sans" w:eastAsia="Noto Sans" w:hAnsi="Noto Sans" w:cs="Noto Sans"/>
          <w:sz w:val="20"/>
          <w:szCs w:val="20"/>
        </w:rPr>
        <w:t xml:space="preserve"> en tercera dimensión, lo que permitió planear previamente el procedimiento, </w:t>
      </w:r>
      <w:proofErr w:type="spellStart"/>
      <w:r>
        <w:rPr>
          <w:rFonts w:ascii="Noto Sans" w:eastAsia="Noto Sans" w:hAnsi="Noto Sans" w:cs="Noto Sans"/>
          <w:sz w:val="20"/>
          <w:szCs w:val="20"/>
        </w:rPr>
        <w:t>premoldear</w:t>
      </w:r>
      <w:proofErr w:type="spellEnd"/>
      <w:r>
        <w:rPr>
          <w:rFonts w:ascii="Noto Sans" w:eastAsia="Noto Sans" w:hAnsi="Noto Sans" w:cs="Noto Sans"/>
          <w:sz w:val="20"/>
          <w:szCs w:val="20"/>
        </w:rPr>
        <w:t xml:space="preserve"> la placa de osteosíntesis para disminuir el tiempo en el quirófano y favorecer una recuperación más segura.</w:t>
      </w:r>
    </w:p>
    <w:p w14:paraId="0E56DAB3" w14:textId="77777777" w:rsidR="0026080B" w:rsidRDefault="0026080B">
      <w:pPr>
        <w:ind w:right="49"/>
        <w:jc w:val="both"/>
        <w:rPr>
          <w:rFonts w:ascii="Noto Sans" w:eastAsia="Noto Sans" w:hAnsi="Noto Sans" w:cs="Noto Sans"/>
          <w:sz w:val="20"/>
          <w:szCs w:val="20"/>
        </w:rPr>
      </w:pPr>
    </w:p>
    <w:p w14:paraId="3510B701" w14:textId="77777777" w:rsidR="0026080B" w:rsidRDefault="00995B78">
      <w:pPr>
        <w:ind w:right="49"/>
        <w:jc w:val="both"/>
        <w:rPr>
          <w:rFonts w:ascii="Noto Sans" w:eastAsia="Noto Sans" w:hAnsi="Noto Sans" w:cs="Noto Sans"/>
          <w:sz w:val="20"/>
          <w:szCs w:val="20"/>
        </w:rPr>
      </w:pPr>
      <w:r>
        <w:rPr>
          <w:rFonts w:ascii="Noto Sans" w:eastAsia="Noto Sans" w:hAnsi="Noto Sans" w:cs="Noto Sans"/>
          <w:sz w:val="20"/>
          <w:szCs w:val="20"/>
        </w:rPr>
        <w:t>Tras la intervención, el paciente permaneció 48 horas en terapia intensiva para vigilancia y posteriormente continuó su recuperación en hospitalización durante 8 días. Hoy, a casi 1 año de la cirugía, el paciente no presenta recurrencia de la lesión, se encuentra estable y ha mejorado notablemente su alimentación y calidad de vida.</w:t>
      </w:r>
    </w:p>
    <w:p w14:paraId="5D49811F" w14:textId="77777777" w:rsidR="0026080B" w:rsidRDefault="0026080B">
      <w:pPr>
        <w:ind w:right="49"/>
        <w:jc w:val="both"/>
        <w:rPr>
          <w:rFonts w:ascii="Noto Sans" w:eastAsia="Noto Sans" w:hAnsi="Noto Sans" w:cs="Noto Sans"/>
          <w:sz w:val="20"/>
          <w:szCs w:val="20"/>
        </w:rPr>
      </w:pPr>
    </w:p>
    <w:p w14:paraId="67EB6158" w14:textId="77777777" w:rsidR="0026080B" w:rsidRDefault="00995B78">
      <w:pPr>
        <w:ind w:right="49"/>
        <w:jc w:val="both"/>
        <w:rPr>
          <w:rFonts w:ascii="Noto Sans" w:eastAsia="Noto Sans" w:hAnsi="Noto Sans" w:cs="Noto Sans"/>
          <w:sz w:val="20"/>
          <w:szCs w:val="20"/>
        </w:rPr>
      </w:pPr>
      <w:r>
        <w:rPr>
          <w:rFonts w:ascii="Noto Sans" w:eastAsia="Noto Sans" w:hAnsi="Noto Sans" w:cs="Noto Sans"/>
          <w:sz w:val="20"/>
          <w:szCs w:val="20"/>
        </w:rPr>
        <w:lastRenderedPageBreak/>
        <w:t>El cirujano maxilofacial comentó que generalmente esta cirugía se realiza en un hospital de tercer nivel; sin embargo, el HGZ No. 36 de segundo nivel, al contar con los especialistas preparados y con trabajo en equipo, fue posible realizar la intervención de manera exitosa.</w:t>
      </w:r>
    </w:p>
    <w:p w14:paraId="4C025A10" w14:textId="77777777" w:rsidR="0026080B" w:rsidRDefault="0026080B">
      <w:pPr>
        <w:ind w:right="49"/>
        <w:jc w:val="both"/>
        <w:rPr>
          <w:rFonts w:ascii="Noto Sans" w:eastAsia="Noto Sans" w:hAnsi="Noto Sans" w:cs="Noto Sans"/>
          <w:sz w:val="20"/>
          <w:szCs w:val="20"/>
        </w:rPr>
      </w:pPr>
    </w:p>
    <w:p w14:paraId="114603A3" w14:textId="77777777" w:rsidR="0026080B" w:rsidRDefault="00995B78">
      <w:pPr>
        <w:ind w:right="49"/>
        <w:jc w:val="both"/>
        <w:rPr>
          <w:rFonts w:ascii="Noto Sans" w:eastAsia="Noto Sans" w:hAnsi="Noto Sans" w:cs="Noto Sans"/>
          <w:sz w:val="20"/>
          <w:szCs w:val="20"/>
        </w:rPr>
      </w:pPr>
      <w:r>
        <w:rPr>
          <w:rFonts w:ascii="Noto Sans" w:eastAsia="Noto Sans" w:hAnsi="Noto Sans" w:cs="Noto Sans"/>
          <w:sz w:val="20"/>
          <w:szCs w:val="20"/>
        </w:rPr>
        <w:t>Por su parte, el paciente Zindy Antonio “N” explicó que todo inició con una pequeña bolita en la mandíbula que en pocos meses creció, tanto que no podía hablar ni comer, además del intenso dolor.</w:t>
      </w:r>
    </w:p>
    <w:p w14:paraId="4606464D" w14:textId="77777777" w:rsidR="0026080B" w:rsidRDefault="0026080B">
      <w:pPr>
        <w:ind w:right="49"/>
        <w:jc w:val="both"/>
        <w:rPr>
          <w:rFonts w:ascii="Noto Sans" w:eastAsia="Noto Sans" w:hAnsi="Noto Sans" w:cs="Noto Sans"/>
          <w:sz w:val="20"/>
          <w:szCs w:val="20"/>
        </w:rPr>
      </w:pPr>
    </w:p>
    <w:p w14:paraId="79C3D9C0" w14:textId="77777777" w:rsidR="0026080B" w:rsidRDefault="00995B78">
      <w:pPr>
        <w:ind w:right="49"/>
        <w:jc w:val="both"/>
        <w:rPr>
          <w:rFonts w:ascii="Noto Sans" w:eastAsia="Noto Sans" w:hAnsi="Noto Sans" w:cs="Noto Sans"/>
          <w:sz w:val="20"/>
          <w:szCs w:val="20"/>
        </w:rPr>
      </w:pPr>
      <w:r>
        <w:rPr>
          <w:rFonts w:ascii="Noto Sans" w:eastAsia="Noto Sans" w:hAnsi="Noto Sans" w:cs="Noto Sans"/>
          <w:sz w:val="20"/>
          <w:szCs w:val="20"/>
        </w:rPr>
        <w:t>“Mi cara estaba inflamada y comencé a sangrar por la encía. Cuando llegué al hospital conocí al doctor Carlos, quien me explicó todo con paciencia y claridad. Estoy completamente agradecido con el doctor y con todo el personal. Sin su intervención probablemente no estaría hoy aquí, disfrutar de mi familia y reincorporarme a mi vida laboral”, expresó.</w:t>
      </w:r>
    </w:p>
    <w:p w14:paraId="69859C86" w14:textId="77777777" w:rsidR="0026080B" w:rsidRDefault="0026080B">
      <w:pPr>
        <w:ind w:right="49"/>
        <w:jc w:val="both"/>
        <w:rPr>
          <w:rFonts w:ascii="Noto Sans" w:eastAsia="Noto Sans" w:hAnsi="Noto Sans" w:cs="Noto Sans"/>
          <w:sz w:val="20"/>
          <w:szCs w:val="20"/>
        </w:rPr>
      </w:pPr>
    </w:p>
    <w:p w14:paraId="45D2B199" w14:textId="77777777" w:rsidR="0026080B" w:rsidRDefault="00995B78">
      <w:pPr>
        <w:ind w:right="49"/>
        <w:jc w:val="both"/>
        <w:rPr>
          <w:rFonts w:ascii="Noto Sans" w:eastAsia="Noto Sans" w:hAnsi="Noto Sans" w:cs="Noto Sans"/>
          <w:sz w:val="20"/>
          <w:szCs w:val="20"/>
        </w:rPr>
      </w:pPr>
      <w:r>
        <w:rPr>
          <w:rFonts w:ascii="Noto Sans" w:eastAsia="Noto Sans" w:hAnsi="Noto Sans" w:cs="Noto Sans"/>
          <w:sz w:val="20"/>
          <w:szCs w:val="20"/>
        </w:rPr>
        <w:t>Agradeció al doctor Constantino Méndez, así como a todo el equipo multidisciplinario, al cuerpo de Enfermería y a los directivos del HGZ No. 36, la atención recibida. Indicó que la cirugía no solo fue exitosa, sino que tampoco dejó huella en su rostro.</w:t>
      </w:r>
    </w:p>
    <w:p w14:paraId="3EF40A28" w14:textId="77777777" w:rsidR="0026080B" w:rsidRDefault="0026080B">
      <w:pPr>
        <w:ind w:right="49"/>
        <w:jc w:val="both"/>
        <w:rPr>
          <w:rFonts w:ascii="Noto Sans" w:eastAsia="Noto Sans" w:hAnsi="Noto Sans" w:cs="Noto Sans"/>
          <w:sz w:val="20"/>
          <w:szCs w:val="20"/>
        </w:rPr>
      </w:pPr>
    </w:p>
    <w:p w14:paraId="333676A0" w14:textId="77777777" w:rsidR="0026080B" w:rsidRDefault="00995B78">
      <w:pPr>
        <w:ind w:right="49"/>
        <w:jc w:val="both"/>
        <w:rPr>
          <w:rFonts w:ascii="Noto Sans" w:eastAsia="Noto Sans" w:hAnsi="Noto Sans" w:cs="Noto Sans"/>
          <w:sz w:val="20"/>
          <w:szCs w:val="20"/>
        </w:rPr>
      </w:pPr>
      <w:r>
        <w:rPr>
          <w:rFonts w:ascii="Noto Sans" w:eastAsia="Noto Sans" w:hAnsi="Noto Sans" w:cs="Noto Sans"/>
          <w:sz w:val="20"/>
          <w:szCs w:val="20"/>
        </w:rPr>
        <w:t>Con historias como esta, el IMSS en Veracruz Sur refrenda su compromiso de brindar atención médica no solo con alta capacidad técnica, sino con trato digno, cercano y humano, porque detrás de cada procedimiento hay una persona, una familia y una nueva oportunidad para vivir con esperanza.</w:t>
      </w:r>
    </w:p>
    <w:p w14:paraId="4B71A6A6" w14:textId="77777777" w:rsidR="0026080B" w:rsidRDefault="0026080B">
      <w:pPr>
        <w:ind w:right="49"/>
        <w:jc w:val="both"/>
        <w:rPr>
          <w:rFonts w:ascii="Noto Sans" w:eastAsia="Noto Sans" w:hAnsi="Noto Sans" w:cs="Noto Sans"/>
          <w:sz w:val="20"/>
          <w:szCs w:val="20"/>
        </w:rPr>
      </w:pPr>
    </w:p>
    <w:p w14:paraId="621315EE" w14:textId="77777777" w:rsidR="0026080B" w:rsidRDefault="00995B78">
      <w:pPr>
        <w:ind w:right="49"/>
        <w:jc w:val="center"/>
        <w:rPr>
          <w:rFonts w:ascii="Noto Sans" w:eastAsia="Noto Sans" w:hAnsi="Noto Sans" w:cs="Noto Sans"/>
          <w:b/>
          <w:bCs/>
          <w:sz w:val="20"/>
          <w:szCs w:val="20"/>
        </w:rPr>
      </w:pPr>
      <w:r>
        <w:rPr>
          <w:rFonts w:ascii="Noto Sans" w:eastAsia="Noto Sans" w:hAnsi="Noto Sans" w:cs="Noto Sans"/>
          <w:b/>
          <w:bCs/>
          <w:sz w:val="20"/>
          <w:szCs w:val="20"/>
        </w:rPr>
        <w:t>--- o0o ---</w:t>
      </w:r>
    </w:p>
    <w:p w14:paraId="4DD406B5" w14:textId="77777777" w:rsidR="00995B78" w:rsidRDefault="00995B78">
      <w:pPr>
        <w:ind w:right="49"/>
        <w:jc w:val="center"/>
        <w:rPr>
          <w:rFonts w:ascii="Noto Sans" w:eastAsia="Noto Sans" w:hAnsi="Noto Sans" w:cs="Noto Sans"/>
          <w:b/>
          <w:bCs/>
          <w:sz w:val="20"/>
          <w:szCs w:val="20"/>
        </w:rPr>
      </w:pPr>
    </w:p>
    <w:p w14:paraId="23161061" w14:textId="77777777" w:rsidR="00995B78" w:rsidRPr="00995B78" w:rsidRDefault="00995B78" w:rsidP="00995B78">
      <w:pPr>
        <w:ind w:right="49"/>
        <w:jc w:val="both"/>
        <w:rPr>
          <w:rFonts w:ascii="Noto Sans" w:eastAsia="Noto Sans" w:hAnsi="Noto Sans" w:cs="Noto Sans"/>
          <w:sz w:val="20"/>
          <w:szCs w:val="20"/>
        </w:rPr>
      </w:pPr>
      <w:proofErr w:type="gramStart"/>
      <w:r w:rsidRPr="00995B78">
        <w:rPr>
          <w:rFonts w:ascii="Noto Sans" w:eastAsia="Noto Sans" w:hAnsi="Noto Sans" w:cs="Noto Sans"/>
          <w:sz w:val="20"/>
          <w:szCs w:val="20"/>
        </w:rPr>
        <w:t>LINK</w:t>
      </w:r>
      <w:proofErr w:type="gramEnd"/>
      <w:r w:rsidRPr="00995B78">
        <w:rPr>
          <w:rFonts w:ascii="Noto Sans" w:eastAsia="Noto Sans" w:hAnsi="Noto Sans" w:cs="Noto Sans"/>
          <w:sz w:val="20"/>
          <w:szCs w:val="20"/>
        </w:rPr>
        <w:t xml:space="preserve"> DE FOTOS</w:t>
      </w:r>
    </w:p>
    <w:p w14:paraId="207F2C7C" w14:textId="4170F757" w:rsidR="00995B78" w:rsidRPr="00995B78" w:rsidRDefault="00995B78" w:rsidP="00995B78">
      <w:pPr>
        <w:ind w:right="49"/>
        <w:jc w:val="both"/>
        <w:rPr>
          <w:rFonts w:ascii="Noto Sans" w:eastAsia="Noto Sans" w:hAnsi="Noto Sans" w:cs="Noto Sans"/>
          <w:sz w:val="20"/>
          <w:szCs w:val="20"/>
        </w:rPr>
      </w:pPr>
      <w:hyperlink r:id="rId7" w:history="1">
        <w:r w:rsidRPr="002E3D4A">
          <w:rPr>
            <w:rStyle w:val="Hipervnculo"/>
            <w:rFonts w:ascii="Noto Sans" w:eastAsia="Noto Sans" w:hAnsi="Noto Sans" w:cs="Noto Sans"/>
            <w:sz w:val="20"/>
            <w:szCs w:val="20"/>
          </w:rPr>
          <w:t>https://drive.google.com/drive/folders/1FwX0f5veZEnEm-S55k2Ece3FuoS0uDHS?usp=sharing</w:t>
        </w:r>
      </w:hyperlink>
      <w:r>
        <w:rPr>
          <w:rFonts w:ascii="Noto Sans" w:eastAsia="Noto Sans" w:hAnsi="Noto Sans" w:cs="Noto Sans"/>
          <w:sz w:val="20"/>
          <w:szCs w:val="20"/>
        </w:rPr>
        <w:t xml:space="preserve"> </w:t>
      </w:r>
    </w:p>
    <w:p w14:paraId="49DA6351" w14:textId="77777777" w:rsidR="00995B78" w:rsidRPr="00995B78" w:rsidRDefault="00995B78" w:rsidP="00995B78">
      <w:pPr>
        <w:ind w:right="49"/>
        <w:jc w:val="both"/>
        <w:rPr>
          <w:rFonts w:ascii="Noto Sans" w:eastAsia="Noto Sans" w:hAnsi="Noto Sans" w:cs="Noto Sans"/>
          <w:sz w:val="20"/>
          <w:szCs w:val="20"/>
        </w:rPr>
      </w:pPr>
    </w:p>
    <w:p w14:paraId="5A210533" w14:textId="5E74D3DE" w:rsidR="00995B78" w:rsidRPr="00995B78" w:rsidRDefault="00995B78" w:rsidP="00995B78">
      <w:pPr>
        <w:ind w:right="49"/>
        <w:jc w:val="both"/>
        <w:rPr>
          <w:rFonts w:ascii="Noto Sans" w:eastAsia="Noto Sans" w:hAnsi="Noto Sans" w:cs="Noto Sans"/>
          <w:sz w:val="20"/>
          <w:szCs w:val="20"/>
        </w:rPr>
      </w:pPr>
      <w:proofErr w:type="gramStart"/>
      <w:r w:rsidRPr="00995B78">
        <w:rPr>
          <w:rFonts w:ascii="Noto Sans" w:eastAsia="Noto Sans" w:hAnsi="Noto Sans" w:cs="Noto Sans"/>
          <w:sz w:val="20"/>
          <w:szCs w:val="20"/>
        </w:rPr>
        <w:t>LINK</w:t>
      </w:r>
      <w:proofErr w:type="gramEnd"/>
      <w:r w:rsidRPr="00995B78">
        <w:rPr>
          <w:rFonts w:ascii="Noto Sans" w:eastAsia="Noto Sans" w:hAnsi="Noto Sans" w:cs="Noto Sans"/>
          <w:sz w:val="20"/>
          <w:szCs w:val="20"/>
        </w:rPr>
        <w:t xml:space="preserve"> DE VIDEO</w:t>
      </w:r>
    </w:p>
    <w:p w14:paraId="0388FAC9" w14:textId="06BE6E15" w:rsidR="00995B78" w:rsidRDefault="00995B78" w:rsidP="00995B78">
      <w:pPr>
        <w:ind w:right="49"/>
        <w:jc w:val="both"/>
        <w:rPr>
          <w:rFonts w:ascii="Noto Sans" w:eastAsia="Noto Sans" w:hAnsi="Noto Sans" w:cs="Noto Sans"/>
          <w:sz w:val="20"/>
          <w:szCs w:val="20"/>
        </w:rPr>
      </w:pPr>
      <w:hyperlink r:id="rId8" w:history="1">
        <w:r w:rsidRPr="002E3D4A">
          <w:rPr>
            <w:rStyle w:val="Hipervnculo"/>
            <w:rFonts w:ascii="Noto Sans" w:eastAsia="Noto Sans" w:hAnsi="Noto Sans" w:cs="Noto Sans"/>
            <w:sz w:val="20"/>
            <w:szCs w:val="20"/>
          </w:rPr>
          <w:t>https://sendgb.com/L9yMPNYKH4r</w:t>
        </w:r>
      </w:hyperlink>
      <w:r>
        <w:rPr>
          <w:rFonts w:ascii="Noto Sans" w:eastAsia="Noto Sans" w:hAnsi="Noto Sans" w:cs="Noto Sans"/>
          <w:sz w:val="20"/>
          <w:szCs w:val="20"/>
        </w:rPr>
        <w:t xml:space="preserve"> </w:t>
      </w:r>
    </w:p>
    <w:sectPr w:rsidR="00995B78">
      <w:headerReference w:type="default" r:id="rId9"/>
      <w:pgSz w:w="12240" w:h="15840"/>
      <w:pgMar w:top="2342" w:right="1134" w:bottom="184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AB000" w14:textId="77777777" w:rsidR="0061225C" w:rsidRDefault="0061225C">
      <w:r>
        <w:separator/>
      </w:r>
    </w:p>
  </w:endnote>
  <w:endnote w:type="continuationSeparator" w:id="0">
    <w:p w14:paraId="4AE665AF" w14:textId="77777777" w:rsidR="0061225C" w:rsidRDefault="00612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D9462D7-2E37-4C22-9C83-033055F6ED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5002EFF" w:usb1="C200ACFF" w:usb2="00000009" w:usb3="00000000" w:csb0="000001FF" w:csb1="00000000"/>
    <w:embedRegular r:id="rId2" w:fontKey="{EC0437A3-5CA0-4C09-BE59-EC0DA33D063A}"/>
    <w:embedBold r:id="rId3" w:fontKey="{B1C104DE-1816-4C2C-9DBD-954BE4E094D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9926119-040C-4734-B651-0C66D4005CE2}"/>
  </w:font>
  <w:font w:name="Noto Sans">
    <w:charset w:val="00"/>
    <w:family w:val="swiss"/>
    <w:pitch w:val="variable"/>
    <w:sig w:usb0="E00082FF" w:usb1="400078FF" w:usb2="00000021" w:usb3="00000000" w:csb0="0000019F" w:csb1="00000000"/>
    <w:embedRegular r:id="rId5" w:fontKey="{F746DBC0-C2D1-46B1-B5F4-C3D31CF0E31F}"/>
    <w:embedBold r:id="rId6" w:fontKey="{5CB90E0D-71A7-487F-BE49-E9D16744F49F}"/>
  </w:font>
  <w:font w:name="Geom">
    <w:charset w:val="00"/>
    <w:family w:val="auto"/>
    <w:pitch w:val="default"/>
    <w:embedRegular r:id="rId7" w:fontKey="{86CCF240-3D7D-4C7E-A12F-B372A36B3B5C}"/>
  </w:font>
  <w:font w:name="Cambria">
    <w:panose1 w:val="02040503050406030204"/>
    <w:charset w:val="00"/>
    <w:family w:val="roman"/>
    <w:pitch w:val="variable"/>
    <w:sig w:usb0="E00006FF" w:usb1="420024FF" w:usb2="02000000" w:usb3="00000000" w:csb0="0000019F" w:csb1="00000000"/>
    <w:embedRegular r:id="rId8" w:fontKey="{7E6BF36F-8809-42F7-ABAB-E5C4875D11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25502" w14:textId="77777777" w:rsidR="0061225C" w:rsidRDefault="0061225C">
      <w:r>
        <w:separator/>
      </w:r>
    </w:p>
  </w:footnote>
  <w:footnote w:type="continuationSeparator" w:id="0">
    <w:p w14:paraId="2E3B6A58" w14:textId="77777777" w:rsidR="0061225C" w:rsidRDefault="00612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E5490" w14:textId="77777777" w:rsidR="0026080B" w:rsidRDefault="00995B78">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77025A23" wp14:editId="3048F317">
          <wp:simplePos x="0" y="0"/>
          <wp:positionH relativeFrom="column">
            <wp:posOffset>-765809</wp:posOffset>
          </wp:positionH>
          <wp:positionV relativeFrom="paragraph">
            <wp:posOffset>-441324</wp:posOffset>
          </wp:positionV>
          <wp:extent cx="7800230" cy="1009405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0DEEFC6C" w14:textId="77777777" w:rsidR="0026080B" w:rsidRDefault="0026080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C0674"/>
    <w:multiLevelType w:val="multilevel"/>
    <w:tmpl w:val="78A49764"/>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851145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80B"/>
    <w:rsid w:val="0017199E"/>
    <w:rsid w:val="0026080B"/>
    <w:rsid w:val="00286B6D"/>
    <w:rsid w:val="0031335F"/>
    <w:rsid w:val="0061225C"/>
    <w:rsid w:val="00995B78"/>
    <w:rsid w:val="00D621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90B64"/>
  <w15:docId w15:val="{74B62396-F04F-4198-83A6-C75D0D9E8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995B78"/>
    <w:rPr>
      <w:color w:val="0000FF" w:themeColor="hyperlink"/>
      <w:u w:val="single"/>
    </w:rPr>
  </w:style>
  <w:style w:type="character" w:styleId="Mencinsinresolver">
    <w:name w:val="Unresolved Mention"/>
    <w:basedOn w:val="Fuentedeprrafopredeter"/>
    <w:uiPriority w:val="99"/>
    <w:semiHidden/>
    <w:unhideWhenUsed/>
    <w:rsid w:val="00995B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L9yMPNYKH4r" TargetMode="External"/><Relationship Id="rId3" Type="http://schemas.openxmlformats.org/officeDocument/2006/relationships/settings" Target="settings.xml"/><Relationship Id="rId7" Type="http://schemas.openxmlformats.org/officeDocument/2006/relationships/hyperlink" Target="https://drive.google.com/drive/folders/1FwX0f5veZEnEm-S55k2Ece3FuoS0uDHS?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611</Words>
  <Characters>3362</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Aleman</dc:creator>
  <cp:lastModifiedBy>Luz Maria Rico Jardon</cp:lastModifiedBy>
  <cp:revision>2</cp:revision>
  <dcterms:created xsi:type="dcterms:W3CDTF">2026-04-17T17:45:00Z</dcterms:created>
  <dcterms:modified xsi:type="dcterms:W3CDTF">2026-04-17T17:45:00Z</dcterms:modified>
</cp:coreProperties>
</file>