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EF63B" w14:textId="384A64D6" w:rsidR="00FD0565" w:rsidRDefault="00CB6B75">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1CD4EA8" wp14:editId="526E0E9C">
                <wp:simplePos x="0" y="0"/>
                <wp:positionH relativeFrom="column">
                  <wp:posOffset>2366010</wp:posOffset>
                </wp:positionH>
                <wp:positionV relativeFrom="paragraph">
                  <wp:posOffset>0</wp:posOffset>
                </wp:positionV>
                <wp:extent cx="3845560" cy="8382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38200"/>
                        </a:xfrm>
                        <a:prstGeom prst="rect">
                          <a:avLst/>
                        </a:prstGeom>
                        <a:noFill/>
                        <a:ln>
                          <a:noFill/>
                        </a:ln>
                      </wps:spPr>
                      <wps:txbx>
                        <w:txbxContent>
                          <w:p w14:paraId="15236527" w14:textId="77777777" w:rsidR="00FD0565" w:rsidRDefault="00F84C9B">
                            <w:pPr>
                              <w:spacing w:before="120" w:after="40" w:line="219" w:lineRule="auto"/>
                              <w:jc w:val="right"/>
                              <w:textDirection w:val="btLr"/>
                            </w:pPr>
                            <w:r>
                              <w:rPr>
                                <w:rFonts w:ascii="Noto Sans" w:eastAsia="Noto Sans" w:hAnsi="Noto Sans" w:cs="Noto Sans"/>
                                <w:color w:val="BA8C54"/>
                                <w:sz w:val="28"/>
                              </w:rPr>
                              <w:t>BOLETÍN DE PRENSA</w:t>
                            </w:r>
                          </w:p>
                          <w:p w14:paraId="09EC4A6F" w14:textId="4580253D" w:rsidR="00FD0565" w:rsidRDefault="00F84C9B">
                            <w:pPr>
                              <w:spacing w:before="120" w:after="40" w:line="219" w:lineRule="auto"/>
                              <w:jc w:val="right"/>
                              <w:textDirection w:val="btLr"/>
                            </w:pPr>
                            <w:r>
                              <w:rPr>
                                <w:rFonts w:ascii="Noto Sans" w:eastAsia="Noto Sans" w:hAnsi="Noto Sans" w:cs="Noto Sans"/>
                                <w:color w:val="000000"/>
                                <w:sz w:val="20"/>
                              </w:rPr>
                              <w:t xml:space="preserve">Villahermosa, Tabasco, </w:t>
                            </w:r>
                            <w:r w:rsidR="00CB6B75">
                              <w:rPr>
                                <w:rFonts w:ascii="Noto Sans" w:eastAsia="Noto Sans" w:hAnsi="Noto Sans" w:cs="Noto Sans"/>
                                <w:color w:val="000000"/>
                                <w:sz w:val="20"/>
                              </w:rPr>
                              <w:t xml:space="preserve">jueves 16 </w:t>
                            </w:r>
                            <w:r>
                              <w:rPr>
                                <w:rFonts w:ascii="Noto Sans" w:eastAsia="Noto Sans" w:hAnsi="Noto Sans" w:cs="Noto Sans"/>
                                <w:color w:val="000000"/>
                                <w:sz w:val="20"/>
                              </w:rPr>
                              <w:t xml:space="preserve">de abril de 2026 </w:t>
                            </w:r>
                          </w:p>
                          <w:p w14:paraId="48F03FD1" w14:textId="717B2552" w:rsidR="00FD0565" w:rsidRDefault="00F84C9B">
                            <w:pPr>
                              <w:spacing w:before="120" w:after="40" w:line="219" w:lineRule="auto"/>
                              <w:jc w:val="right"/>
                              <w:textDirection w:val="btLr"/>
                            </w:pPr>
                            <w:r>
                              <w:rPr>
                                <w:rFonts w:ascii="Noto Sans" w:eastAsia="Noto Sans" w:hAnsi="Noto Sans" w:cs="Noto Sans"/>
                                <w:color w:val="000000"/>
                                <w:sz w:val="20"/>
                              </w:rPr>
                              <w:t>No. 205</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1CD4EA8" id="Rectángulo 1" o:spid="_x0000_s1026" style="position:absolute;left:0;text-align:left;margin-left:186.3pt;margin-top:0;width:302.8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" filled="f" stroked="f">
                <v:textbox inset="0,0,0,0">
                  <w:txbxContent>
                    <w:p w14:paraId="15236527" w14:textId="77777777" w:rsidR="00FD0565" w:rsidRDefault="00F84C9B">
                      <w:pPr>
                        <w:spacing w:before="120" w:after="40" w:line="219" w:lineRule="auto"/>
                        <w:jc w:val="right"/>
                        <w:textDirection w:val="btLr"/>
                      </w:pPr>
                      <w:r>
                        <w:rPr>
                          <w:rFonts w:ascii="Noto Sans" w:eastAsia="Noto Sans" w:hAnsi="Noto Sans" w:cs="Noto Sans"/>
                          <w:color w:val="BA8C54"/>
                          <w:sz w:val="28"/>
                        </w:rPr>
                        <w:t>BOLETÍN DE PRENSA</w:t>
                      </w:r>
                    </w:p>
                    <w:p w14:paraId="09EC4A6F" w14:textId="4580253D" w:rsidR="00FD0565" w:rsidRDefault="00F84C9B">
                      <w:pPr>
                        <w:spacing w:before="120" w:after="40" w:line="219" w:lineRule="auto"/>
                        <w:jc w:val="right"/>
                        <w:textDirection w:val="btLr"/>
                      </w:pPr>
                      <w:r>
                        <w:rPr>
                          <w:rFonts w:ascii="Noto Sans" w:eastAsia="Noto Sans" w:hAnsi="Noto Sans" w:cs="Noto Sans"/>
                          <w:color w:val="000000"/>
                          <w:sz w:val="20"/>
                        </w:rPr>
                        <w:t xml:space="preserve">Villahermosa, Tabasco, </w:t>
                      </w:r>
                      <w:r w:rsidR="00CB6B75">
                        <w:rPr>
                          <w:rFonts w:ascii="Noto Sans" w:eastAsia="Noto Sans" w:hAnsi="Noto Sans" w:cs="Noto Sans"/>
                          <w:color w:val="000000"/>
                          <w:sz w:val="20"/>
                        </w:rPr>
                        <w:t xml:space="preserve">jueves 16 </w:t>
                      </w:r>
                      <w:r>
                        <w:rPr>
                          <w:rFonts w:ascii="Noto Sans" w:eastAsia="Noto Sans" w:hAnsi="Noto Sans" w:cs="Noto Sans"/>
                          <w:color w:val="000000"/>
                          <w:sz w:val="20"/>
                        </w:rPr>
                        <w:t xml:space="preserve">de abril de 2026 </w:t>
                      </w:r>
                    </w:p>
                    <w:p w14:paraId="48F03FD1" w14:textId="717B2552" w:rsidR="00FD0565" w:rsidRDefault="00F84C9B">
                      <w:pPr>
                        <w:spacing w:before="120" w:after="40" w:line="219" w:lineRule="auto"/>
                        <w:jc w:val="right"/>
                        <w:textDirection w:val="btLr"/>
                      </w:pPr>
                      <w:r>
                        <w:rPr>
                          <w:rFonts w:ascii="Noto Sans" w:eastAsia="Noto Sans" w:hAnsi="Noto Sans" w:cs="Noto Sans"/>
                          <w:color w:val="000000"/>
                          <w:sz w:val="20"/>
                        </w:rPr>
                        <w:t>No. 205</w:t>
                      </w:r>
                      <w:r>
                        <w:rPr>
                          <w:rFonts w:ascii="Noto Sans" w:eastAsia="Noto Sans" w:hAnsi="Noto Sans" w:cs="Noto Sans"/>
                          <w:color w:val="000000"/>
                          <w:sz w:val="20"/>
                        </w:rPr>
                        <w:t>/2026</w:t>
                      </w:r>
                    </w:p>
                  </w:txbxContent>
                </v:textbox>
                <w10:wrap type="square"/>
              </v:rect>
            </w:pict>
          </mc:Fallback>
        </mc:AlternateContent>
      </w:r>
      <w:r>
        <w:rPr>
          <w:rFonts w:ascii="Geom" w:eastAsia="Geom" w:hAnsi="Geom" w:cs="Geom"/>
          <w:sz w:val="21"/>
          <w:szCs w:val="21"/>
        </w:rPr>
        <w:t xml:space="preserve"> </w:t>
      </w:r>
    </w:p>
    <w:p w14:paraId="72E8F9FD" w14:textId="77777777" w:rsidR="00FD0565" w:rsidRDefault="00FD0565">
      <w:pPr>
        <w:jc w:val="both"/>
        <w:rPr>
          <w:rFonts w:ascii="Noto Sans" w:eastAsia="Noto Sans" w:hAnsi="Noto Sans" w:cs="Noto Sans"/>
          <w:sz w:val="19"/>
          <w:szCs w:val="19"/>
        </w:rPr>
      </w:pPr>
    </w:p>
    <w:p w14:paraId="6ECB66D4" w14:textId="77777777" w:rsidR="00FD0565" w:rsidRDefault="00FD0565">
      <w:pPr>
        <w:jc w:val="both"/>
        <w:rPr>
          <w:rFonts w:ascii="Noto Sans" w:eastAsia="Noto Sans" w:hAnsi="Noto Sans" w:cs="Noto Sans"/>
          <w:sz w:val="19"/>
          <w:szCs w:val="19"/>
        </w:rPr>
      </w:pPr>
    </w:p>
    <w:p w14:paraId="0C34C00A" w14:textId="77777777" w:rsidR="00FD0565" w:rsidRDefault="00FD0565">
      <w:pPr>
        <w:jc w:val="center"/>
        <w:rPr>
          <w:rFonts w:ascii="Noto Sans" w:eastAsia="Noto Sans" w:hAnsi="Noto Sans" w:cs="Noto Sans"/>
          <w:b/>
          <w:bCs/>
          <w:sz w:val="32"/>
          <w:szCs w:val="32"/>
        </w:rPr>
      </w:pPr>
    </w:p>
    <w:p w14:paraId="6A3CF7D8" w14:textId="77777777" w:rsidR="00CB6B75" w:rsidRDefault="00CB6B75">
      <w:pPr>
        <w:ind w:right="49"/>
        <w:jc w:val="center"/>
        <w:rPr>
          <w:rFonts w:ascii="Noto Sans" w:eastAsia="Noto Sans" w:hAnsi="Noto Sans" w:cs="Noto Sans"/>
          <w:b/>
          <w:bCs/>
          <w:sz w:val="34"/>
          <w:szCs w:val="34"/>
        </w:rPr>
      </w:pPr>
    </w:p>
    <w:p w14:paraId="5EB7FE32" w14:textId="260007EE" w:rsidR="00FD0565" w:rsidRDefault="00F84C9B">
      <w:pPr>
        <w:ind w:right="49"/>
        <w:jc w:val="center"/>
        <w:rPr>
          <w:rFonts w:ascii="Noto Sans" w:eastAsia="Noto Sans" w:hAnsi="Noto Sans" w:cs="Noto Sans"/>
          <w:b/>
          <w:bCs/>
          <w:sz w:val="34"/>
          <w:szCs w:val="34"/>
        </w:rPr>
      </w:pPr>
      <w:r>
        <w:rPr>
          <w:rFonts w:ascii="Noto Sans" w:eastAsia="Noto Sans" w:hAnsi="Noto Sans" w:cs="Noto Sans"/>
          <w:b/>
          <w:bCs/>
          <w:sz w:val="34"/>
          <w:szCs w:val="34"/>
        </w:rPr>
        <w:t>Tomógrafo de alta generación revoluciona atención médica en el IMSS Tabasco</w:t>
      </w:r>
    </w:p>
    <w:p w14:paraId="539FB7B4" w14:textId="77777777" w:rsidR="00FD0565" w:rsidRDefault="00FD0565">
      <w:pPr>
        <w:ind w:right="49"/>
        <w:rPr>
          <w:rFonts w:ascii="Noto Sans" w:eastAsia="Noto Sans" w:hAnsi="Noto Sans" w:cs="Noto Sans"/>
          <w:b/>
          <w:bCs/>
          <w:sz w:val="20"/>
          <w:szCs w:val="20"/>
        </w:rPr>
      </w:pPr>
    </w:p>
    <w:p w14:paraId="315751AD" w14:textId="77777777" w:rsidR="00FD0565" w:rsidRDefault="00F84C9B">
      <w:pPr>
        <w:numPr>
          <w:ilvl w:val="0"/>
          <w:numId w:val="1"/>
        </w:numPr>
        <w:pBdr>
          <w:top w:val="nil"/>
          <w:left w:val="nil"/>
          <w:bottom w:val="nil"/>
          <w:right w:val="nil"/>
          <w:between w:val="nil"/>
        </w:pBdr>
        <w:ind w:hanging="360"/>
        <w:jc w:val="both"/>
        <w:rPr>
          <w:b/>
          <w:bCs/>
          <w:color w:val="000000"/>
          <w:sz w:val="20"/>
          <w:szCs w:val="20"/>
        </w:rPr>
      </w:pPr>
      <w:r>
        <w:rPr>
          <w:rFonts w:ascii="Noto Sans" w:eastAsia="Noto Sans" w:hAnsi="Noto Sans" w:cs="Noto Sans"/>
          <w:b/>
          <w:bCs/>
          <w:color w:val="000000"/>
          <w:sz w:val="20"/>
          <w:szCs w:val="20"/>
        </w:rPr>
        <w:t>El equipo se instaló en el Hospital General de Zona No. 46 de Villahermosa para beneficiar a más de 21 mil derechohabientes al año con estudios y diagnósticos de precisión.</w:t>
      </w:r>
    </w:p>
    <w:p w14:paraId="7DE53927" w14:textId="77777777" w:rsidR="00FD0565" w:rsidRDefault="00F84C9B">
      <w:pPr>
        <w:numPr>
          <w:ilvl w:val="0"/>
          <w:numId w:val="1"/>
        </w:numPr>
        <w:pBdr>
          <w:top w:val="nil"/>
          <w:left w:val="nil"/>
          <w:bottom w:val="nil"/>
          <w:right w:val="nil"/>
          <w:between w:val="nil"/>
        </w:pBdr>
        <w:ind w:hanging="360"/>
        <w:jc w:val="both"/>
        <w:rPr>
          <w:b/>
          <w:bCs/>
          <w:color w:val="000000"/>
          <w:sz w:val="20"/>
          <w:szCs w:val="20"/>
        </w:rPr>
      </w:pPr>
      <w:r>
        <w:rPr>
          <w:rFonts w:ascii="Noto Sans" w:eastAsia="Noto Sans" w:hAnsi="Noto Sans" w:cs="Noto Sans"/>
          <w:b/>
          <w:bCs/>
          <w:color w:val="000000"/>
          <w:sz w:val="20"/>
          <w:szCs w:val="20"/>
        </w:rPr>
        <w:t>Esta tecnología fortalecerá la atención en especialidades como Cardiología, Neurología, Neurocirugía, Cirugía General, Urgencias, Medicina Interna y Pediatría, entre otras.</w:t>
      </w:r>
    </w:p>
    <w:p w14:paraId="5DCE8F2B" w14:textId="77777777" w:rsidR="00FD0565" w:rsidRDefault="00F84C9B">
      <w:pPr>
        <w:numPr>
          <w:ilvl w:val="0"/>
          <w:numId w:val="1"/>
        </w:numPr>
        <w:pBdr>
          <w:top w:val="nil"/>
          <w:left w:val="nil"/>
          <w:bottom w:val="nil"/>
          <w:right w:val="nil"/>
          <w:between w:val="nil"/>
        </w:pBdr>
        <w:ind w:hanging="360"/>
        <w:jc w:val="both"/>
        <w:rPr>
          <w:b/>
          <w:bCs/>
          <w:color w:val="000000"/>
          <w:sz w:val="20"/>
          <w:szCs w:val="20"/>
        </w:rPr>
      </w:pPr>
      <w:r>
        <w:rPr>
          <w:rFonts w:ascii="Noto Sans" w:eastAsia="Noto Sans" w:hAnsi="Noto Sans" w:cs="Noto Sans"/>
          <w:b/>
          <w:bCs/>
          <w:color w:val="000000"/>
          <w:sz w:val="20"/>
          <w:szCs w:val="20"/>
        </w:rPr>
        <w:t>El tomógrafo cuenta con una capacidad de hasta 300 kilogramos, que permite atender a pacientes con obesidad y garantizar una atención incluyente.</w:t>
      </w:r>
    </w:p>
    <w:p w14:paraId="58574427" w14:textId="77777777" w:rsidR="00FD0565" w:rsidRDefault="00FD0565">
      <w:pPr>
        <w:ind w:left="-567" w:right="-801"/>
        <w:jc w:val="both"/>
        <w:rPr>
          <w:rFonts w:ascii="Noto Sans" w:eastAsia="Noto Sans" w:hAnsi="Noto Sans" w:cs="Noto Sans"/>
          <w:sz w:val="22"/>
          <w:szCs w:val="22"/>
        </w:rPr>
      </w:pPr>
    </w:p>
    <w:p w14:paraId="26DE7CB6"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Con el objetivo de brindar atención oportuna, especializada y de calidad, el Instituto Mexicano del Seguro Social (IMSS) en Tabasco puso en operación un tomógrafo computarizado de 256 cortes en el Hospital General de Zona (HGZ) No. 46 “Dr. Bartolomé Reynés Berezaluce”, herramienta de alta tecnología que marca un avance significativo en la capacidad diagnóstica de la institución.</w:t>
      </w:r>
    </w:p>
    <w:p w14:paraId="40632537" w14:textId="77777777" w:rsidR="00FD0565" w:rsidRDefault="00FD0565">
      <w:pPr>
        <w:ind w:right="49"/>
        <w:jc w:val="both"/>
        <w:rPr>
          <w:rFonts w:ascii="Noto Sans" w:eastAsia="Noto Sans" w:hAnsi="Noto Sans" w:cs="Noto Sans"/>
          <w:sz w:val="22"/>
          <w:szCs w:val="22"/>
        </w:rPr>
      </w:pPr>
    </w:p>
    <w:p w14:paraId="36977351"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El coordinador de Servicios Auxiliares de Diagnóstico y Tratamiento del HGZ No. 46, doctor Rogelio García Márquez, afirmó que este equipo además de innovación médica representa la posibilidad de detectar a tiempo diversos padecimientos, actuar con precisión y brindar tranquilidad a miles de familias que confían en el IMSS para el cuidado de su salud.</w:t>
      </w:r>
    </w:p>
    <w:p w14:paraId="6B2FB713" w14:textId="77777777" w:rsidR="00FD0565" w:rsidRDefault="00FD0565">
      <w:pPr>
        <w:ind w:right="49"/>
        <w:jc w:val="both"/>
        <w:rPr>
          <w:rFonts w:ascii="Noto Sans" w:eastAsia="Noto Sans" w:hAnsi="Noto Sans" w:cs="Noto Sans"/>
          <w:sz w:val="22"/>
          <w:szCs w:val="22"/>
        </w:rPr>
      </w:pPr>
    </w:p>
    <w:p w14:paraId="208F4D23"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Explicó que la tomografía computarizada permite explorar con detalle distintas zonas del cuerpo, lo cual facilita diagnósticos más certeros y oportunos.</w:t>
      </w:r>
    </w:p>
    <w:p w14:paraId="348F0DA9" w14:textId="77777777" w:rsidR="00FD0565" w:rsidRDefault="00FD0565">
      <w:pPr>
        <w:ind w:right="49"/>
        <w:jc w:val="both"/>
        <w:rPr>
          <w:rFonts w:ascii="Noto Sans" w:eastAsia="Noto Sans" w:hAnsi="Noto Sans" w:cs="Noto Sans"/>
          <w:sz w:val="22"/>
          <w:szCs w:val="22"/>
        </w:rPr>
      </w:pPr>
    </w:p>
    <w:p w14:paraId="6F0BCCFB"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Dijo que la incorporación de este tomógrafo permitirá incrementar la productividad en esta unidad de Segundo Nivel de atención y beneficiar a más de 21 mil derechohabientes al año, además de reducir significativamente los tiempos de espera y mejorar la calidad del servicio.</w:t>
      </w:r>
    </w:p>
    <w:p w14:paraId="32C3A90D" w14:textId="77777777" w:rsidR="00FD0565" w:rsidRDefault="00FD0565">
      <w:pPr>
        <w:ind w:right="49"/>
        <w:jc w:val="both"/>
        <w:rPr>
          <w:rFonts w:ascii="Noto Sans" w:eastAsia="Noto Sans" w:hAnsi="Noto Sans" w:cs="Noto Sans"/>
          <w:sz w:val="22"/>
          <w:szCs w:val="22"/>
        </w:rPr>
      </w:pPr>
    </w:p>
    <w:p w14:paraId="173938E8"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Gracias a esta tecnología se fortalece la atención en especialidades como Cardiología, Neurología, Neurocirugía, Cirugía General, Terapias Intensivas, Urgencias, Medicina Interna, Pediatría, Neumología y Oncología, entre otras, donde un diagnóstico oportuno puede marcar la diferencia en la calidad de vida de las y los pacientes.</w:t>
      </w:r>
    </w:p>
    <w:p w14:paraId="0948E650" w14:textId="77777777" w:rsidR="00FD0565" w:rsidRDefault="00FD0565">
      <w:pPr>
        <w:ind w:right="49"/>
        <w:jc w:val="both"/>
        <w:rPr>
          <w:rFonts w:ascii="Noto Sans" w:eastAsia="Noto Sans" w:hAnsi="Noto Sans" w:cs="Noto Sans"/>
          <w:sz w:val="22"/>
          <w:szCs w:val="22"/>
        </w:rPr>
      </w:pPr>
    </w:p>
    <w:p w14:paraId="4CB85039"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El doctora García Márquez añadió que el tomógrafo ofrece mayor seguridad, reduce la exposición a la radiación y cuenta con una capacidad de carga de hasta 300 kilogramos, que permite atender a pacientes con obesidad y garantizan una atención incluyente.</w:t>
      </w:r>
    </w:p>
    <w:p w14:paraId="55EA6748" w14:textId="77777777" w:rsidR="00FD0565" w:rsidRDefault="00FD0565">
      <w:pPr>
        <w:ind w:right="49"/>
        <w:jc w:val="both"/>
        <w:rPr>
          <w:rFonts w:ascii="Noto Sans" w:eastAsia="Noto Sans" w:hAnsi="Noto Sans" w:cs="Noto Sans"/>
          <w:sz w:val="22"/>
          <w:szCs w:val="22"/>
        </w:rPr>
      </w:pPr>
    </w:p>
    <w:p w14:paraId="1C89276D"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Añadió que cada estudio realizado con este equipo no solo genera imágenes, sino que otorga oportunidades para salvar vidas, mejorar tratamientos y devolver esperanza.</w:t>
      </w:r>
    </w:p>
    <w:p w14:paraId="54BA3426" w14:textId="77777777" w:rsidR="00FD0565" w:rsidRDefault="00FD0565">
      <w:pPr>
        <w:ind w:right="49"/>
        <w:jc w:val="both"/>
        <w:rPr>
          <w:rFonts w:ascii="Noto Sans" w:eastAsia="Noto Sans" w:hAnsi="Noto Sans" w:cs="Noto Sans"/>
          <w:sz w:val="22"/>
          <w:szCs w:val="22"/>
        </w:rPr>
      </w:pPr>
    </w:p>
    <w:p w14:paraId="066F6E73" w14:textId="77777777" w:rsidR="00FD0565" w:rsidRDefault="00F84C9B">
      <w:pPr>
        <w:ind w:right="49"/>
        <w:jc w:val="both"/>
        <w:rPr>
          <w:rFonts w:ascii="Noto Sans" w:eastAsia="Noto Sans" w:hAnsi="Noto Sans" w:cs="Noto Sans"/>
          <w:sz w:val="22"/>
          <w:szCs w:val="22"/>
        </w:rPr>
      </w:pPr>
      <w:r>
        <w:rPr>
          <w:rFonts w:ascii="Noto Sans" w:eastAsia="Noto Sans" w:hAnsi="Noto Sans" w:cs="Noto Sans"/>
          <w:sz w:val="22"/>
          <w:szCs w:val="22"/>
        </w:rPr>
        <w:t>La señora Griselda “N”, derechohabiente del HGZ No. 46, dijo estar contenta y agradecida por el nuevo servicio del tomógrafo, “al ser una tecnología más avanzada que brinda mayor seguridad tanto a mí como a mi hijo con resultados precisos e inmediatos. Quiero agradecer a los doctores, a los enfermeros, a los camilleros y a toda la unidad médica que me nos ha brindado buen servicio y un buen trato”.</w:t>
      </w:r>
    </w:p>
    <w:p w14:paraId="7BECE0AE" w14:textId="77777777" w:rsidR="00FD0565" w:rsidRDefault="00FD0565">
      <w:pPr>
        <w:ind w:right="49"/>
        <w:jc w:val="both"/>
        <w:rPr>
          <w:rFonts w:ascii="Noto Sans" w:eastAsia="Noto Sans" w:hAnsi="Noto Sans" w:cs="Noto Sans"/>
          <w:sz w:val="22"/>
          <w:szCs w:val="22"/>
        </w:rPr>
      </w:pPr>
    </w:p>
    <w:p w14:paraId="4974682C" w14:textId="77777777" w:rsidR="00FD0565" w:rsidRDefault="00F84C9B">
      <w:pPr>
        <w:ind w:right="49"/>
        <w:jc w:val="center"/>
        <w:rPr>
          <w:rFonts w:ascii="Noto Sans" w:eastAsia="Noto Sans" w:hAnsi="Noto Sans" w:cs="Noto Sans"/>
          <w:b/>
          <w:bCs/>
          <w:sz w:val="22"/>
          <w:szCs w:val="22"/>
        </w:rPr>
      </w:pPr>
      <w:r>
        <w:rPr>
          <w:rFonts w:ascii="Noto Sans" w:eastAsia="Noto Sans" w:hAnsi="Noto Sans" w:cs="Noto Sans"/>
          <w:b/>
          <w:bCs/>
          <w:sz w:val="22"/>
          <w:szCs w:val="22"/>
        </w:rPr>
        <w:t>--- o0o ---</w:t>
      </w:r>
    </w:p>
    <w:p w14:paraId="4C90518A" w14:textId="77777777" w:rsidR="00F84C9B" w:rsidRDefault="00F84C9B">
      <w:pPr>
        <w:ind w:right="49"/>
        <w:jc w:val="center"/>
        <w:rPr>
          <w:rFonts w:ascii="Noto Sans" w:eastAsia="Noto Sans" w:hAnsi="Noto Sans" w:cs="Noto Sans"/>
          <w:b/>
          <w:bCs/>
          <w:sz w:val="22"/>
          <w:szCs w:val="22"/>
        </w:rPr>
      </w:pPr>
    </w:p>
    <w:p w14:paraId="35165235" w14:textId="77777777" w:rsidR="00F84C9B" w:rsidRPr="00F84C9B" w:rsidRDefault="00F84C9B" w:rsidP="00F84C9B">
      <w:pPr>
        <w:ind w:right="49"/>
        <w:jc w:val="both"/>
        <w:rPr>
          <w:rFonts w:ascii="Noto Sans" w:eastAsia="Noto Sans" w:hAnsi="Noto Sans" w:cs="Noto Sans"/>
          <w:sz w:val="22"/>
          <w:szCs w:val="22"/>
        </w:rPr>
      </w:pPr>
      <w:r w:rsidRPr="00F84C9B">
        <w:rPr>
          <w:rFonts w:ascii="Noto Sans" w:eastAsia="Noto Sans" w:hAnsi="Noto Sans" w:cs="Noto Sans"/>
          <w:sz w:val="22"/>
          <w:szCs w:val="22"/>
        </w:rPr>
        <w:t>LINK DE FOTOS</w:t>
      </w:r>
    </w:p>
    <w:p w14:paraId="345C8522" w14:textId="57892AB7" w:rsidR="00F84C9B" w:rsidRPr="00F84C9B" w:rsidRDefault="00F84C9B" w:rsidP="00F84C9B">
      <w:pPr>
        <w:ind w:right="49"/>
        <w:jc w:val="both"/>
        <w:rPr>
          <w:rFonts w:ascii="Noto Sans" w:eastAsia="Noto Sans" w:hAnsi="Noto Sans" w:cs="Noto Sans"/>
          <w:sz w:val="22"/>
          <w:szCs w:val="22"/>
        </w:rPr>
      </w:pPr>
      <w:hyperlink r:id="rId7" w:history="1">
        <w:r w:rsidRPr="00503C57">
          <w:rPr>
            <w:rStyle w:val="Hipervnculo"/>
            <w:rFonts w:ascii="Noto Sans" w:eastAsia="Noto Sans" w:hAnsi="Noto Sans" w:cs="Noto Sans"/>
            <w:sz w:val="22"/>
            <w:szCs w:val="22"/>
          </w:rPr>
          <w:t>https://drive.google.com/drive/folders/1stGiO4l6T07uzGaPSN2szWLn58R2V5hH</w:t>
        </w:r>
      </w:hyperlink>
      <w:r>
        <w:rPr>
          <w:rFonts w:ascii="Noto Sans" w:eastAsia="Noto Sans" w:hAnsi="Noto Sans" w:cs="Noto Sans"/>
          <w:sz w:val="22"/>
          <w:szCs w:val="22"/>
        </w:rPr>
        <w:t xml:space="preserve"> </w:t>
      </w:r>
    </w:p>
    <w:p w14:paraId="5C6C46F0" w14:textId="77777777" w:rsidR="00F84C9B" w:rsidRPr="00F84C9B" w:rsidRDefault="00F84C9B" w:rsidP="00F84C9B">
      <w:pPr>
        <w:ind w:right="49"/>
        <w:jc w:val="both"/>
        <w:rPr>
          <w:rFonts w:ascii="Noto Sans" w:eastAsia="Noto Sans" w:hAnsi="Noto Sans" w:cs="Noto Sans"/>
          <w:sz w:val="22"/>
          <w:szCs w:val="22"/>
        </w:rPr>
      </w:pPr>
    </w:p>
    <w:p w14:paraId="40EA3A02" w14:textId="45C3C732" w:rsidR="00F84C9B" w:rsidRPr="00F84C9B" w:rsidRDefault="00F84C9B" w:rsidP="00F84C9B">
      <w:pPr>
        <w:ind w:right="49"/>
        <w:jc w:val="both"/>
        <w:rPr>
          <w:rFonts w:ascii="Noto Sans" w:eastAsia="Noto Sans" w:hAnsi="Noto Sans" w:cs="Noto Sans"/>
          <w:sz w:val="22"/>
          <w:szCs w:val="22"/>
        </w:rPr>
      </w:pPr>
      <w:r>
        <w:rPr>
          <w:rFonts w:ascii="Segoe UI Emoji" w:eastAsia="Noto Sans" w:hAnsi="Segoe UI Emoji" w:cs="Segoe UI Emoji"/>
          <w:sz w:val="22"/>
          <w:szCs w:val="22"/>
        </w:rPr>
        <w:t>L</w:t>
      </w:r>
      <w:r w:rsidRPr="00F84C9B">
        <w:rPr>
          <w:rFonts w:ascii="Noto Sans" w:eastAsia="Noto Sans" w:hAnsi="Noto Sans" w:cs="Noto Sans"/>
          <w:sz w:val="22"/>
          <w:szCs w:val="22"/>
        </w:rPr>
        <w:t>INK DE  VIDEO</w:t>
      </w:r>
    </w:p>
    <w:p w14:paraId="06B23B36" w14:textId="36556E2B" w:rsidR="00F84C9B" w:rsidRDefault="00F84C9B" w:rsidP="00F84C9B">
      <w:pPr>
        <w:ind w:right="49"/>
        <w:jc w:val="both"/>
        <w:rPr>
          <w:rFonts w:ascii="Noto Sans" w:eastAsia="Noto Sans" w:hAnsi="Noto Sans" w:cs="Noto Sans"/>
          <w:sz w:val="22"/>
          <w:szCs w:val="22"/>
        </w:rPr>
      </w:pPr>
      <w:hyperlink r:id="rId8" w:history="1">
        <w:r w:rsidRPr="00503C57">
          <w:rPr>
            <w:rStyle w:val="Hipervnculo"/>
            <w:rFonts w:ascii="Noto Sans" w:eastAsia="Noto Sans" w:hAnsi="Noto Sans" w:cs="Noto Sans"/>
            <w:sz w:val="22"/>
            <w:szCs w:val="22"/>
          </w:rPr>
          <w:t>https://sendgb.com/qszoHdgikPR</w:t>
        </w:r>
      </w:hyperlink>
      <w:r>
        <w:rPr>
          <w:rFonts w:ascii="Noto Sans" w:eastAsia="Noto Sans" w:hAnsi="Noto Sans" w:cs="Noto Sans"/>
          <w:sz w:val="22"/>
          <w:szCs w:val="22"/>
        </w:rPr>
        <w:t xml:space="preserve"> </w:t>
      </w:r>
    </w:p>
    <w:sectPr w:rsidR="00F84C9B">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79382" w14:textId="77777777" w:rsidR="000B2703" w:rsidRDefault="000B2703">
      <w:r>
        <w:separator/>
      </w:r>
    </w:p>
  </w:endnote>
  <w:endnote w:type="continuationSeparator" w:id="0">
    <w:p w14:paraId="58C5FC9E" w14:textId="77777777" w:rsidR="000B2703" w:rsidRDefault="000B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3C1AB36-2695-47E8-BDB2-5D6BA41479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4083EA5-AEFD-4652-BE22-7871EFD9A34D}"/>
    <w:embedBold r:id="rId3" w:fontKey="{458122C8-E54D-42FF-B50A-671D6BC5234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BA33C1F-10F2-4842-B365-52A9B01FE61C}"/>
  </w:font>
  <w:font w:name="Noto Sans">
    <w:charset w:val="00"/>
    <w:family w:val="swiss"/>
    <w:pitch w:val="variable"/>
    <w:sig w:usb0="E00082FF" w:usb1="400078FF" w:usb2="00000021" w:usb3="00000000" w:csb0="0000019F" w:csb1="00000000"/>
    <w:embedRegular r:id="rId5" w:fontKey="{1223AFA8-42E7-4E2D-8E3F-96B42C83F688}"/>
    <w:embedBold r:id="rId6" w:fontKey="{9BB40000-56B9-4CEA-980A-E333CAB108A3}"/>
  </w:font>
  <w:font w:name="Geom">
    <w:charset w:val="00"/>
    <w:family w:val="auto"/>
    <w:pitch w:val="default"/>
    <w:embedRegular r:id="rId7" w:fontKey="{CD98A56F-703B-4236-ADE7-BB1286FC22DF}"/>
  </w:font>
  <w:font w:name="Segoe UI Emoji">
    <w:panose1 w:val="020B0502040204020203"/>
    <w:charset w:val="00"/>
    <w:family w:val="swiss"/>
    <w:pitch w:val="variable"/>
    <w:sig w:usb0="00000003" w:usb1="02000000" w:usb2="08000000" w:usb3="00000000" w:csb0="00000001" w:csb1="00000000"/>
    <w:embedRegular r:id="rId8" w:fontKey="{4A518975-5FEE-41C0-95CC-0C25DFF43A6A}"/>
  </w:font>
  <w:font w:name="Cambria">
    <w:panose1 w:val="02040503050406030204"/>
    <w:charset w:val="00"/>
    <w:family w:val="roman"/>
    <w:pitch w:val="variable"/>
    <w:sig w:usb0="E00006FF" w:usb1="420024FF" w:usb2="02000000" w:usb3="00000000" w:csb0="0000019F" w:csb1="00000000"/>
    <w:embedRegular r:id="rId9" w:fontKey="{F8D79D90-BF9B-4F5C-B252-DAD20D09DC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C37F7" w14:textId="77777777" w:rsidR="000B2703" w:rsidRDefault="000B2703">
      <w:r>
        <w:separator/>
      </w:r>
    </w:p>
  </w:footnote>
  <w:footnote w:type="continuationSeparator" w:id="0">
    <w:p w14:paraId="58247991" w14:textId="77777777" w:rsidR="000B2703" w:rsidRDefault="000B2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1688" w14:textId="77777777" w:rsidR="00FD0565" w:rsidRDefault="00F84C9B">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0318732" wp14:editId="771C5630">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0DB917C1" w14:textId="77777777" w:rsidR="00FD0565" w:rsidRDefault="00FD056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CA7879"/>
    <w:multiLevelType w:val="multilevel"/>
    <w:tmpl w:val="2EE4678A"/>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2080663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565"/>
    <w:rsid w:val="000B2703"/>
    <w:rsid w:val="00100AD3"/>
    <w:rsid w:val="00B20D7A"/>
    <w:rsid w:val="00CB6B75"/>
    <w:rsid w:val="00F84C9B"/>
    <w:rsid w:val="00FD05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5C8C"/>
  <w15:docId w15:val="{142FF59D-68C0-46A9-968A-07736836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F84C9B"/>
    <w:rPr>
      <w:color w:val="0000FF" w:themeColor="hyperlink"/>
      <w:u w:val="single"/>
    </w:rPr>
  </w:style>
  <w:style w:type="character" w:styleId="Mencinsinresolver">
    <w:name w:val="Unresolved Mention"/>
    <w:basedOn w:val="Fuentedeprrafopredeter"/>
    <w:uiPriority w:val="99"/>
    <w:semiHidden/>
    <w:unhideWhenUsed/>
    <w:rsid w:val="00F84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qszoHdgikPR" TargetMode="External"/><Relationship Id="rId3" Type="http://schemas.openxmlformats.org/officeDocument/2006/relationships/settings" Target="settings.xml"/><Relationship Id="rId7" Type="http://schemas.openxmlformats.org/officeDocument/2006/relationships/hyperlink" Target="https://drive.google.com/drive/folders/1stGiO4l6T07uzGaPSN2szWLn58R2V5h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489</Words>
  <Characters>2694</Characters>
  <Application>Microsoft Office Word</Application>
  <DocSecurity>0</DocSecurity>
  <Lines>22</Lines>
  <Paragraphs>6</Paragraphs>
  <ScaleCrop>false</ScaleCrop>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2026-04-16T20:04:00Z</dcterms:created>
  <dcterms:modified xsi:type="dcterms:W3CDTF">2026-04-16T20:04:00Z</dcterms:modified>
</cp:coreProperties>
</file>