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CE4D" w14:textId="77777777" w:rsidR="0085689A" w:rsidRPr="000A408C" w:rsidRDefault="0085689A" w:rsidP="0085689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AF235" wp14:editId="624AB7F0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7D749" w14:textId="77777777" w:rsidR="0085689A" w:rsidRPr="004A2714" w:rsidRDefault="0085689A" w:rsidP="0085689A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91AE848" w14:textId="16425700" w:rsidR="0085689A" w:rsidRDefault="0085689A" w:rsidP="0085689A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martes 31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marzo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4DE70C" w14:textId="040D735C" w:rsidR="0085689A" w:rsidRPr="004E0D31" w:rsidRDefault="0085689A" w:rsidP="0085689A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C05E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173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AF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4247D749" w14:textId="77777777" w:rsidR="0085689A" w:rsidRPr="004A2714" w:rsidRDefault="0085689A" w:rsidP="0085689A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91AE848" w14:textId="16425700" w:rsidR="0085689A" w:rsidRDefault="0085689A" w:rsidP="0085689A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martes 31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marzo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4DE70C" w14:textId="040D735C" w:rsidR="0085689A" w:rsidRPr="004E0D31" w:rsidRDefault="0085689A" w:rsidP="0085689A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C05E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173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2D926233" w14:textId="77777777" w:rsidR="0085689A" w:rsidRPr="000A408C" w:rsidRDefault="0085689A" w:rsidP="0085689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3CE0CAD" w14:textId="77777777" w:rsidR="0085689A" w:rsidRPr="000A408C" w:rsidRDefault="0085689A" w:rsidP="0085689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2C933FE" w14:textId="77777777" w:rsidR="0085689A" w:rsidRDefault="0085689A" w:rsidP="0085689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4B64C376" w14:textId="77777777" w:rsidR="00C05EE9" w:rsidRDefault="00C05EE9" w:rsidP="0085689A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  <w:lang w:val="es-MX"/>
        </w:rPr>
      </w:pPr>
    </w:p>
    <w:p w14:paraId="2E217C66" w14:textId="130F4207" w:rsidR="0085689A" w:rsidRPr="0085689A" w:rsidRDefault="0085689A" w:rsidP="0085689A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  <w:lang w:val="es-MX"/>
        </w:rPr>
      </w:pPr>
      <w:r w:rsidRPr="0085689A">
        <w:rPr>
          <w:rFonts w:ascii="Noto Sans" w:hAnsi="Noto Sans" w:cs="Noto Sans"/>
          <w:b/>
          <w:bCs/>
          <w:spacing w:val="-2"/>
          <w:sz w:val="30"/>
          <w:szCs w:val="30"/>
          <w:lang w:val="es-MX"/>
        </w:rPr>
        <w:t>Ofrece IMSS opciones de descanso y recreación en sus Centros Vacacionales durante Semana Santa 2026</w:t>
      </w:r>
    </w:p>
    <w:p w14:paraId="680FA04E" w14:textId="77777777" w:rsidR="0085689A" w:rsidRDefault="0085689A" w:rsidP="0085689A">
      <w:pPr>
        <w:ind w:right="49"/>
        <w:jc w:val="both"/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</w:pPr>
    </w:p>
    <w:p w14:paraId="1CA927BD" w14:textId="49694F2F" w:rsidR="0085689A" w:rsidRPr="0085689A" w:rsidRDefault="0085689A" w:rsidP="0085689A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  <w:t>Los cuatro complejos del Instituto cuentan con hospedaje, campamento, balnearios y actividades familiares en entornos naturales.</w:t>
      </w:r>
    </w:p>
    <w:p w14:paraId="55AE1318" w14:textId="376F55A7" w:rsidR="0085689A" w:rsidRPr="0085689A" w:rsidRDefault="0085689A" w:rsidP="0085689A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  <w:t>Se mantienen tarifas accesibles y descuentos para derechohabientes, personas adultas mayores y trabajadores del IMSS.</w:t>
      </w:r>
    </w:p>
    <w:p w14:paraId="359EE95B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</w:pPr>
    </w:p>
    <w:p w14:paraId="121F68D9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>En el arranque del primer periodo vacacional de 2026, el Instituto Mexicano del Seguro Social (IMSS) invita a la población derechohabiente y al público en general a disfrutar de sus Centros Vacacionales durante Semana Santa, con una amplia oferta de servicios que promueven el descanso, la recreación y la convivencia familiar en entornos seguros y accesibles.</w:t>
      </w:r>
    </w:p>
    <w:p w14:paraId="37060FAA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5A05FA3D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>El IMSS cuenta con cuatro Centros Vacacionales: Oaxtepec, Atlixco-Metepec, La Trinidad y Malintzi, los cuales ofrecen diversas opciones de hospedaje, áreas de campamento, balnearios, actividades deportivas y recreativas, así como amplios espacios naturales que permiten a las familias disfrutar de días de esparcimiento durante este periodo de asueto.</w:t>
      </w:r>
    </w:p>
    <w:p w14:paraId="028217EF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325DD2D9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>En conjunto, estas instalaciones tienen capacidad para recibir a miles de visitantes, tanto en habitaciones como en zonas de campamento y áreas recreativas, lo que permite atender una alta afluencia durante temporadas vacacionales como Semana Santa.</w:t>
      </w:r>
    </w:p>
    <w:p w14:paraId="5DF341AD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546E9CC2" w14:textId="7D36557F" w:rsidR="0085689A" w:rsidRPr="0085689A" w:rsidRDefault="0085689A" w:rsidP="00A3173D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 xml:space="preserve">El Centro Vacacional Oaxtepec dispone de </w:t>
      </w:r>
      <w:r w:rsidR="00A3173D" w:rsidRPr="00A3173D">
        <w:rPr>
          <w:rFonts w:ascii="Noto Sans" w:hAnsi="Noto Sans" w:cs="Noto Sans"/>
          <w:spacing w:val="-2"/>
          <w:sz w:val="22"/>
          <w:szCs w:val="22"/>
          <w:lang w:val="es-MX"/>
        </w:rPr>
        <w:t>368 unidades de hospedaje entre hoteles, cabañas y casas</w:t>
      </w: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 xml:space="preserve">, con capacidad para albergar a mil 586 personas, además de un área de campamento para cuatro mil visitantes. Por su parte, Atlixco-Metepec cuenta con </w:t>
      </w:r>
      <w:r w:rsidR="00A3173D">
        <w:rPr>
          <w:rFonts w:ascii="Noto Sans" w:hAnsi="Noto Sans" w:cs="Noto Sans"/>
          <w:spacing w:val="-2"/>
          <w:sz w:val="22"/>
          <w:szCs w:val="22"/>
          <w:lang w:val="es-MX"/>
        </w:rPr>
        <w:t>206</w:t>
      </w: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 xml:space="preserve"> habitaciones en hoteles y villas, con capacidad para 485 personas y zona de campamento para 600 visitantes.</w:t>
      </w:r>
    </w:p>
    <w:p w14:paraId="16A165D3" w14:textId="77777777" w:rsid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328094B8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>El Centro Vacacional La Trinidad ofrece 112 habitaciones con capacidad para 360 personas, así como espacio de campamento para mil 200 visitantes; mientras que Malintzi dispone de 46 cabañas tipo inglés con capacidad para 269 personas y área de campamento para 600 personas.</w:t>
      </w:r>
    </w:p>
    <w:p w14:paraId="5627F495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09D6334F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lastRenderedPageBreak/>
        <w:t>Entre las principales actividades que se pueden realizar destacan el uso de albercas y balnearios, campamento, caminatas en áreas naturales, actividades deportivas y recreativas, así como espacios diseñados para la convivencia familiar y el descanso en contacto con la naturaleza.</w:t>
      </w:r>
    </w:p>
    <w:p w14:paraId="5FD0CCC6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451CFE22" w14:textId="741C8BA8" w:rsid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 xml:space="preserve">El IMSS mantiene la opción de ingreso con </w:t>
      </w:r>
      <w:r w:rsidR="00A3173D">
        <w:rPr>
          <w:rFonts w:ascii="Noto Sans" w:hAnsi="Noto Sans" w:cs="Noto Sans"/>
          <w:spacing w:val="-2"/>
          <w:sz w:val="22"/>
          <w:szCs w:val="22"/>
          <w:lang w:val="es-MX"/>
        </w:rPr>
        <w:t>perros</w:t>
      </w: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 xml:space="preserve"> de compañía en habitaciones designadas en algunos Centros Vacacionales, con excepción de Malintzi, bajo lineamientos específicos que garantizan la seguridad de los visitantes. </w:t>
      </w:r>
    </w:p>
    <w:p w14:paraId="48A05808" w14:textId="77777777" w:rsid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797B16B7" w14:textId="044E3DAA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>Entre los requisitos se encuentra el pago de una cuota de recuperación, portar cartilla de vacunación vigente, uso de correa en todo momento y la responsabilidad de los propietarios en el cuidado y limpieza de sus mascotas.</w:t>
      </w:r>
    </w:p>
    <w:p w14:paraId="60BB5F28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</w:p>
    <w:p w14:paraId="2510DE1E" w14:textId="77777777" w:rsidR="0085689A" w:rsidRPr="0085689A" w:rsidRDefault="0085689A" w:rsidP="0085689A">
      <w:pPr>
        <w:ind w:right="49"/>
        <w:jc w:val="both"/>
        <w:rPr>
          <w:rFonts w:ascii="Noto Sans" w:hAnsi="Noto Sans" w:cs="Noto Sans"/>
          <w:spacing w:val="-2"/>
          <w:sz w:val="22"/>
          <w:szCs w:val="22"/>
          <w:lang w:val="es-MX"/>
        </w:rPr>
      </w:pPr>
      <w:r w:rsidRPr="0085689A">
        <w:rPr>
          <w:rFonts w:ascii="Noto Sans" w:hAnsi="Noto Sans" w:cs="Noto Sans"/>
          <w:spacing w:val="-2"/>
          <w:sz w:val="22"/>
          <w:szCs w:val="22"/>
          <w:lang w:val="es-MX"/>
        </w:rPr>
        <w:t>Asimismo, el Instituto mantiene durante 2026 sus cuotas de recuperación y esquemas de descuento en acceso y hospedaje, principalmente para derechohabientes, personas adultas mayores y trabajadores del IMSS, como parte de su estrategia para facilitar el acceso a opciones de esparcimiento y bienestar durante fines de semana, puentes y periodos vacacionales.</w:t>
      </w:r>
    </w:p>
    <w:p w14:paraId="60DFE750" w14:textId="77777777" w:rsidR="0085689A" w:rsidRDefault="0085689A" w:rsidP="0085689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6EA719D" w14:textId="64B5975C" w:rsidR="00BE776D" w:rsidRDefault="0085689A" w:rsidP="0085689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1526F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6173DD19" w14:textId="77777777" w:rsidR="00DA0E96" w:rsidRDefault="00DA0E96" w:rsidP="0085689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07B0CAAC" w14:textId="77777777" w:rsidR="00DA0E96" w:rsidRPr="00DA0E96" w:rsidRDefault="00DA0E96" w:rsidP="00DA0E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DA0E96">
        <w:rPr>
          <w:rFonts w:ascii="Noto Sans" w:hAnsi="Noto Sans" w:cs="Noto Sans"/>
          <w:b/>
          <w:bCs/>
          <w:sz w:val="20"/>
          <w:szCs w:val="20"/>
        </w:rPr>
        <w:t>LINK  DE</w:t>
      </w:r>
      <w:proofErr w:type="gramEnd"/>
      <w:r w:rsidRPr="00DA0E96">
        <w:rPr>
          <w:rFonts w:ascii="Noto Sans" w:hAnsi="Noto Sans" w:cs="Noto Sans"/>
          <w:b/>
          <w:bCs/>
          <w:sz w:val="20"/>
          <w:szCs w:val="20"/>
        </w:rPr>
        <w:t xml:space="preserve"> FOTOS</w:t>
      </w:r>
    </w:p>
    <w:p w14:paraId="245BE088" w14:textId="73FF22B1" w:rsidR="00DA0E96" w:rsidRPr="00DA0E96" w:rsidRDefault="00DA0E96" w:rsidP="00DA0E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7" w:history="1">
        <w:r w:rsidRPr="00DA0E96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https://imssmx.sharepoint.com/:f:/s/comunicacionsocial/IgCWjr5Dv0TUQpoeeUwfZV2tAf-syv3-lmBH-qhAnvllBTg?e=TJclV7</w:t>
        </w:r>
      </w:hyperlink>
      <w:r w:rsidRPr="00DA0E96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3C19626" w14:textId="77777777" w:rsidR="00DA0E96" w:rsidRPr="00DA0E96" w:rsidRDefault="00DA0E96" w:rsidP="00DA0E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4AA1A5A" w14:textId="24E819E2" w:rsidR="00DA0E96" w:rsidRPr="00DA0E96" w:rsidRDefault="00DA0E96" w:rsidP="00DA0E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A0E96">
        <w:rPr>
          <w:rFonts w:ascii="Noto Sans" w:hAnsi="Noto Sans" w:cs="Noto Sans"/>
          <w:b/>
          <w:bCs/>
          <w:sz w:val="20"/>
          <w:szCs w:val="20"/>
        </w:rPr>
        <w:t xml:space="preserve">VIDEO Y </w:t>
      </w:r>
      <w:proofErr w:type="gramStart"/>
      <w:r w:rsidRPr="00DA0E96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DA0E96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5BEDFE1B" w14:textId="7C634877" w:rsidR="00DA0E96" w:rsidRPr="0085689A" w:rsidRDefault="00DA0E96" w:rsidP="00DA0E96">
      <w:pPr>
        <w:ind w:right="49"/>
        <w:jc w:val="both"/>
        <w:rPr>
          <w:rFonts w:ascii="Noto Sans" w:hAnsi="Noto Sans" w:cs="Noto Sans"/>
          <w:sz w:val="20"/>
          <w:szCs w:val="20"/>
        </w:rPr>
      </w:pPr>
      <w:hyperlink r:id="rId8" w:history="1">
        <w:r w:rsidRPr="00DA0E96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https://drive.google.com/file/d/1ZCgXT1WeVqdaoguxIsCJuvZ2ozbH_ZFE/view?usp=sharing</w:t>
        </w:r>
      </w:hyperlink>
      <w:r>
        <w:rPr>
          <w:rFonts w:ascii="Noto Sans" w:hAnsi="Noto Sans" w:cs="Noto Sans"/>
          <w:sz w:val="20"/>
          <w:szCs w:val="20"/>
        </w:rPr>
        <w:t xml:space="preserve"> </w:t>
      </w:r>
    </w:p>
    <w:sectPr w:rsidR="00DA0E96" w:rsidRPr="0085689A" w:rsidSect="0085689A">
      <w:headerReference w:type="default" r:id="rId9"/>
      <w:pgSz w:w="12240" w:h="15840"/>
      <w:pgMar w:top="2342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787E" w14:textId="77777777" w:rsidR="00B876CE" w:rsidRDefault="00B876CE">
      <w:r>
        <w:separator/>
      </w:r>
    </w:p>
  </w:endnote>
  <w:endnote w:type="continuationSeparator" w:id="0">
    <w:p w14:paraId="418EFF61" w14:textId="77777777" w:rsidR="00B876CE" w:rsidRDefault="00B8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27AA" w14:textId="77777777" w:rsidR="00B876CE" w:rsidRDefault="00B876CE">
      <w:r>
        <w:separator/>
      </w:r>
    </w:p>
  </w:footnote>
  <w:footnote w:type="continuationSeparator" w:id="0">
    <w:p w14:paraId="5147DC46" w14:textId="77777777" w:rsidR="00B876CE" w:rsidRDefault="00B8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6679" w14:textId="77777777" w:rsidR="0085689A" w:rsidRDefault="0085689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90EC750" wp14:editId="27012ABF">
          <wp:simplePos x="0" y="0"/>
          <wp:positionH relativeFrom="column">
            <wp:posOffset>-765810</wp:posOffset>
          </wp:positionH>
          <wp:positionV relativeFrom="paragraph">
            <wp:posOffset>-346075</wp:posOffset>
          </wp:positionV>
          <wp:extent cx="7800230" cy="10094052"/>
          <wp:effectExtent l="0" t="0" r="0" b="2540"/>
          <wp:wrapNone/>
          <wp:docPr id="87070229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B2C91" w14:textId="77777777" w:rsidR="0085689A" w:rsidRDefault="008568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78F35707"/>
    <w:multiLevelType w:val="hybridMultilevel"/>
    <w:tmpl w:val="DDD6F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62954">
    <w:abstractNumId w:val="0"/>
  </w:num>
  <w:num w:numId="2" w16cid:durableId="213301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9A"/>
    <w:rsid w:val="004E4601"/>
    <w:rsid w:val="006D6B4B"/>
    <w:rsid w:val="0084044B"/>
    <w:rsid w:val="0085689A"/>
    <w:rsid w:val="00A3173D"/>
    <w:rsid w:val="00B876CE"/>
    <w:rsid w:val="00BE776D"/>
    <w:rsid w:val="00C05EE9"/>
    <w:rsid w:val="00DA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6012"/>
  <w15:chartTrackingRefBased/>
  <w15:docId w15:val="{9D179F4B-03A5-4372-B834-ADE015A0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9A"/>
    <w:pPr>
      <w:spacing w:after="0" w:line="240" w:lineRule="auto"/>
    </w:pPr>
    <w:rPr>
      <w:rFonts w:eastAsiaTheme="minorEastAsi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8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8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8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8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8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68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89A"/>
    <w:rPr>
      <w:rFonts w:eastAsiaTheme="minorEastAsia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A0E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CgXT1WeVqdaoguxIsCJuvZ2ozbH_ZFE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ssmx.sharepoint.com/:f:/s/comunicacionsocial/IgCWjr5Dv0TUQpoeeUwfZV2tAf-syv3-lmBH-qhAnvllBTg?e=TJclV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Alberto Ruiz Aleman</dc:creator>
  <cp:keywords/>
  <dc:description/>
  <cp:lastModifiedBy>Luz Maria Rico Jardon</cp:lastModifiedBy>
  <cp:revision>2</cp:revision>
  <dcterms:created xsi:type="dcterms:W3CDTF">2026-03-31T19:52:00Z</dcterms:created>
  <dcterms:modified xsi:type="dcterms:W3CDTF">2026-03-31T19:52:00Z</dcterms:modified>
</cp:coreProperties>
</file>