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1AB" w14:textId="0967C877" w:rsidR="00234A78" w:rsidRPr="009E03D9" w:rsidRDefault="00551543" w:rsidP="009E03D9">
      <w:pPr>
        <w:spacing w:after="0" w:line="240" w:lineRule="atLeast"/>
        <w:jc w:val="right"/>
        <w:rPr>
          <w:rFonts w:ascii="Montserrat Light" w:eastAsia="Batang" w:hAnsi="Montserrat Light" w:cs="Arial"/>
          <w:sz w:val="24"/>
        </w:rPr>
      </w:pPr>
      <w:bookmarkStart w:id="0" w:name="_GoBack"/>
      <w:bookmarkEnd w:id="0"/>
      <w:r w:rsidRPr="009E03D9">
        <w:rPr>
          <w:rFonts w:ascii="Montserrat Light" w:eastAsia="Batang" w:hAnsi="Montserrat Light" w:cs="Arial"/>
          <w:sz w:val="24"/>
        </w:rPr>
        <w:t xml:space="preserve">Ciudad de México, </w:t>
      </w:r>
      <w:r w:rsidR="0044089A">
        <w:rPr>
          <w:rFonts w:ascii="Montserrat Light" w:eastAsia="Batang" w:hAnsi="Montserrat Light" w:cs="Arial"/>
          <w:sz w:val="24"/>
        </w:rPr>
        <w:t>miércoles 6 de abril</w:t>
      </w:r>
      <w:r w:rsidRPr="009E03D9">
        <w:rPr>
          <w:rFonts w:ascii="Montserrat Light" w:eastAsia="Batang" w:hAnsi="Montserrat Light" w:cs="Arial"/>
          <w:sz w:val="24"/>
        </w:rPr>
        <w:t xml:space="preserve"> </w:t>
      </w:r>
      <w:r w:rsidR="00306170" w:rsidRPr="009E03D9">
        <w:rPr>
          <w:rFonts w:ascii="Montserrat Light" w:eastAsia="Batang" w:hAnsi="Montserrat Light" w:cs="Arial"/>
          <w:sz w:val="24"/>
        </w:rPr>
        <w:t>de 2022</w:t>
      </w:r>
    </w:p>
    <w:p w14:paraId="260FE682" w14:textId="70D7EE5A" w:rsidR="00306170" w:rsidRPr="009E03D9" w:rsidRDefault="00306170" w:rsidP="009E03D9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 w:rsidRPr="009E03D9">
        <w:rPr>
          <w:rFonts w:ascii="Montserrat Light" w:hAnsi="Montserrat Light"/>
          <w:color w:val="000000"/>
          <w:lang w:val="es-ES"/>
        </w:rPr>
        <w:t xml:space="preserve">No. </w:t>
      </w:r>
      <w:r w:rsidR="0044089A">
        <w:rPr>
          <w:rFonts w:ascii="Montserrat Light" w:hAnsi="Montserrat Light"/>
          <w:color w:val="000000"/>
          <w:lang w:val="es-ES"/>
        </w:rPr>
        <w:t>165</w:t>
      </w:r>
      <w:r w:rsidRPr="009E03D9">
        <w:rPr>
          <w:rFonts w:ascii="Montserrat Light" w:hAnsi="Montserrat Light"/>
          <w:color w:val="000000"/>
          <w:lang w:val="es-ES"/>
        </w:rPr>
        <w:t>/2022</w:t>
      </w:r>
    </w:p>
    <w:p w14:paraId="475CCE95" w14:textId="77777777" w:rsidR="00306170" w:rsidRPr="009E03D9" w:rsidRDefault="00306170" w:rsidP="009E03D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4E6E0DEF" w14:textId="4BD976B6" w:rsidR="00306170" w:rsidRPr="009E03D9" w:rsidRDefault="00306170" w:rsidP="009E03D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9E03D9">
        <w:rPr>
          <w:rFonts w:ascii="Montserrat Light" w:eastAsia="Batang" w:hAnsi="Montserrat Light" w:cs="Arial"/>
          <w:b/>
          <w:sz w:val="32"/>
        </w:rPr>
        <w:t>BOLETÍN DE PRENSA</w:t>
      </w:r>
    </w:p>
    <w:p w14:paraId="2A2CADD6" w14:textId="77777777" w:rsidR="00306170" w:rsidRPr="009E03D9" w:rsidRDefault="00306170" w:rsidP="009E03D9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7FE13640" w14:textId="44BA6867" w:rsidR="009E03D9" w:rsidRPr="009E03D9" w:rsidRDefault="009E03D9" w:rsidP="009E03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jc w:val="center"/>
        <w:rPr>
          <w:rFonts w:ascii="Montserrat Light" w:eastAsia="Montserrat" w:hAnsi="Montserrat Light" w:cs="Montserrat"/>
          <w:b/>
          <w:color w:val="444242"/>
          <w:sz w:val="28"/>
          <w:szCs w:val="24"/>
        </w:rPr>
      </w:pPr>
      <w:r w:rsidRPr="009E03D9">
        <w:rPr>
          <w:rFonts w:ascii="Montserrat Light" w:eastAsia="Montserrat" w:hAnsi="Montserrat Light" w:cs="Montserrat"/>
          <w:b/>
          <w:color w:val="444242"/>
          <w:sz w:val="28"/>
          <w:szCs w:val="24"/>
        </w:rPr>
        <w:t>IMSS moderniza régimen de inversión de sus portafolios y consolida las mejores prácticas en la gestión de inversiones y riesgos</w:t>
      </w:r>
    </w:p>
    <w:p w14:paraId="47AEFEC7" w14:textId="77777777" w:rsidR="009E03D9" w:rsidRPr="009E03D9" w:rsidRDefault="009E03D9" w:rsidP="009E03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jc w:val="center"/>
        <w:rPr>
          <w:rFonts w:ascii="Montserrat Light" w:eastAsia="Montserrat" w:hAnsi="Montserrat Light" w:cs="Montserrat"/>
          <w:b/>
          <w:color w:val="444242"/>
          <w:sz w:val="24"/>
          <w:szCs w:val="24"/>
        </w:rPr>
      </w:pPr>
    </w:p>
    <w:p w14:paraId="7DEB35AC" w14:textId="5525D956" w:rsidR="009E03D9" w:rsidRPr="009E03D9" w:rsidRDefault="009E03D9" w:rsidP="009E03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hAnsi="Montserrat Light"/>
          <w:b/>
          <w:color w:val="444242"/>
        </w:rPr>
      </w:pPr>
      <w:r w:rsidRPr="009E03D9">
        <w:rPr>
          <w:rFonts w:ascii="Montserrat Light" w:eastAsia="Montserrat" w:hAnsi="Montserrat Light" w:cs="Montserrat"/>
          <w:b/>
          <w:color w:val="444242"/>
        </w:rPr>
        <w:t>El H. Consejo Técnico aprobó un nuevo régimen de inversión para diversos portafolios y nombró a las Expertas Independientes que participarán en la Comisión de Riesgos Financieros y Actuariales.</w:t>
      </w:r>
    </w:p>
    <w:p w14:paraId="42CBCA89" w14:textId="77777777" w:rsidR="009E03D9" w:rsidRPr="009E03D9" w:rsidRDefault="009E03D9" w:rsidP="009E03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hAnsi="Montserrat Light"/>
          <w:b/>
          <w:color w:val="444242"/>
        </w:rPr>
      </w:pPr>
      <w:r w:rsidRPr="009E03D9">
        <w:rPr>
          <w:rFonts w:ascii="Montserrat Light" w:eastAsia="Montserrat" w:hAnsi="Montserrat Light" w:cs="Montserrat"/>
          <w:b/>
          <w:color w:val="444242"/>
        </w:rPr>
        <w:t>Desde junio de 2020, los órganos de gobierno del IMSS han autorizado diversas actualizaciones al régimen de inversión</w:t>
      </w:r>
      <w:r>
        <w:rPr>
          <w:rFonts w:ascii="Montserrat Light" w:eastAsia="Montserrat" w:hAnsi="Montserrat Light" w:cs="Montserrat"/>
          <w:b/>
          <w:color w:val="444242"/>
        </w:rPr>
        <w:t xml:space="preserve">, a fin de </w:t>
      </w:r>
      <w:r w:rsidRPr="009E03D9">
        <w:rPr>
          <w:rFonts w:ascii="Montserrat Light" w:eastAsia="Montserrat" w:hAnsi="Montserrat Light" w:cs="Montserrat"/>
          <w:b/>
          <w:color w:val="444242"/>
        </w:rPr>
        <w:t>garantizar la suficiencia financiera</w:t>
      </w:r>
      <w:r>
        <w:rPr>
          <w:rFonts w:ascii="Montserrat Light" w:eastAsia="Montserrat" w:hAnsi="Montserrat Light" w:cs="Montserrat"/>
          <w:b/>
          <w:color w:val="444242"/>
        </w:rPr>
        <w:t>.</w:t>
      </w:r>
    </w:p>
    <w:p w14:paraId="3BA142AF" w14:textId="77777777" w:rsidR="009E03D9" w:rsidRDefault="009E03D9" w:rsidP="009E03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</w:p>
    <w:p w14:paraId="160BB759" w14:textId="3C1FF13C" w:rsidR="009E03D9" w:rsidRDefault="006024A1" w:rsidP="009E03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  <w:r>
        <w:rPr>
          <w:rFonts w:ascii="Montserrat Light" w:eastAsia="Montserrat" w:hAnsi="Montserrat Light" w:cs="Montserrat"/>
          <w:color w:val="444242"/>
          <w:sz w:val="24"/>
          <w:szCs w:val="24"/>
        </w:rPr>
        <w:t>E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l H. Consejo Técnico </w:t>
      </w:r>
      <w:r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del Instituto Mexicano del Seguro Social (IMSS)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>aprobó el establecimiento de un nuevo régimen de inversión en el Fondo Laboral</w:t>
      </w:r>
      <w:r w:rsidR="004636A8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,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además de consolidar la Comisión de Riesgos Financieros y Actuariales, con el nombramiento de dos Expertas Independientes en </w:t>
      </w:r>
      <w:r w:rsidR="004636A8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la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>materia, quienes tendrán participación en dicha Comisión.</w:t>
      </w:r>
    </w:p>
    <w:p w14:paraId="07216599" w14:textId="77777777" w:rsidR="009E03D9" w:rsidRPr="009E03D9" w:rsidRDefault="009E03D9" w:rsidP="009E03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</w:p>
    <w:p w14:paraId="1A9C3E29" w14:textId="6A310A88" w:rsidR="004636A8" w:rsidRDefault="004636A8" w:rsidP="009E03D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  <w:r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En octubre de 2021,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el H. Consejo Técnico </w:t>
      </w:r>
      <w:r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autorizó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el incremento en la Duración de las Reservas Financieras y Actuariales para cubrir usos futuros, y </w:t>
      </w:r>
      <w:r>
        <w:rPr>
          <w:rFonts w:ascii="Montserrat Light" w:eastAsia="Montserrat" w:hAnsi="Montserrat Light" w:cs="Montserrat"/>
          <w:color w:val="444242"/>
          <w:sz w:val="24"/>
          <w:szCs w:val="24"/>
        </w:rPr>
        <w:t>aprobó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 la incursión en renta variable y deuda gubernamental internacional a través de </w:t>
      </w:r>
      <w:proofErr w:type="spellStart"/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>ETFs</w:t>
      </w:r>
      <w:proofErr w:type="spellEnd"/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, así como FIBRAS y mercancías, sin recurrir a terceros y sin representar costos adicionales al Instituto. </w:t>
      </w:r>
    </w:p>
    <w:p w14:paraId="3E144D12" w14:textId="77777777" w:rsidR="004636A8" w:rsidRDefault="004636A8" w:rsidP="009E03D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</w:p>
    <w:p w14:paraId="5A858E66" w14:textId="766DE0D7" w:rsidR="009E03D9" w:rsidRDefault="006024A1" w:rsidP="009E03D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  <w:r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Derivado de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>la alta volatilidad en los mercados y los incrementos en la curva de interés nominal y real mexicana, se ha duplicado la Duración en dos reservas y en otras ha alcanzado incrementos de hasta 50%, lo que ha permitido avanzar hacia un mejor calce de activos y pasivos en cada seguro y cobertura.</w:t>
      </w:r>
    </w:p>
    <w:p w14:paraId="27434D30" w14:textId="77777777" w:rsidR="009E03D9" w:rsidRPr="009E03D9" w:rsidRDefault="009E03D9" w:rsidP="009E03D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</w:p>
    <w:p w14:paraId="50B4BA51" w14:textId="2738CB01" w:rsidR="009E03D9" w:rsidRDefault="006024A1" w:rsidP="009E03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  <w:r>
        <w:rPr>
          <w:rFonts w:ascii="Montserrat Light" w:eastAsia="Montserrat" w:hAnsi="Montserrat Light" w:cs="Montserrat"/>
          <w:color w:val="444242"/>
          <w:sz w:val="24"/>
          <w:szCs w:val="24"/>
        </w:rPr>
        <w:t>D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>urante la sesión especial de la Comisión de Inversiones Financieras</w:t>
      </w:r>
      <w:r>
        <w:rPr>
          <w:rFonts w:ascii="Montserrat Light" w:eastAsia="Montserrat" w:hAnsi="Montserrat Light" w:cs="Montserrat"/>
          <w:color w:val="444242"/>
          <w:sz w:val="24"/>
          <w:szCs w:val="24"/>
        </w:rPr>
        <w:t>,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 celebrada en octubre del año pasado</w:t>
      </w:r>
      <w:r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,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el </w:t>
      </w:r>
      <w:r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director general del IMSS, Maestro Zoé Robledo, señaló que el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Instituto ha dado pasos firmes en el proceso de diversificación de sus inversiones, hecho que </w:t>
      </w:r>
      <w:r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fortalece el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>equilibrio financiero de la institución, en beneficio de la población derechohabiente y de sus trabajadores.</w:t>
      </w:r>
    </w:p>
    <w:p w14:paraId="5BF50387" w14:textId="77777777" w:rsidR="009E03D9" w:rsidRPr="009E03D9" w:rsidRDefault="009E03D9" w:rsidP="009E03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</w:p>
    <w:p w14:paraId="405C9868" w14:textId="1BFBBDE6" w:rsidR="009E03D9" w:rsidRDefault="006024A1" w:rsidP="009E03D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  <w:r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En abril de 2021,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con el fin de fortalecer el gobierno corporativo y los procesos de toma de decisiones asociados a las inversiones financieras, el H. Consejo Técnico autorizó la inclusión de un Experto Independiente en la integración de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lastRenderedPageBreak/>
        <w:t xml:space="preserve">la Comisión de Inversiones Financieras, y seis meses después instruyó la creación de la Comisión de Riesgos Financieros y Actuariales, </w:t>
      </w:r>
      <w:r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a fin de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>favorecer la implementación de las mejores prácticas en materia de gestión de riesgos financieros en el IMSS.</w:t>
      </w:r>
    </w:p>
    <w:p w14:paraId="61952AC2" w14:textId="77777777" w:rsidR="009E03D9" w:rsidRPr="009E03D9" w:rsidRDefault="009E03D9" w:rsidP="009E03D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</w:p>
    <w:p w14:paraId="3B4FA599" w14:textId="00AB7016" w:rsidR="009E03D9" w:rsidRDefault="006024A1" w:rsidP="009E03D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  <w:r w:rsidRPr="006024A1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A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>inicios de 2021, el Instituto encaminó la inversión en divisas de las reservas en la ruta de la diversificación, dado que contaba con el 100% de sus inversiones en moneda local. Con ese propósito, se dio marcha a una estrategia de compra de activos de deuda denominados en otras divisas y, recientemente, en renta variable internacional.</w:t>
      </w:r>
    </w:p>
    <w:p w14:paraId="329630B7" w14:textId="77777777" w:rsidR="009E03D9" w:rsidRPr="009E03D9" w:rsidRDefault="009E03D9" w:rsidP="009E03D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</w:p>
    <w:p w14:paraId="7794BCBD" w14:textId="4AF50265" w:rsidR="006024A1" w:rsidRDefault="006024A1" w:rsidP="009E03D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  <w:r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En la actual administración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el IMSS comenzó a materializar la ampliación del régimen de inversión institucional, incursionando en renta variable internacional (acciones y </w:t>
      </w:r>
      <w:proofErr w:type="spellStart"/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>ETFs</w:t>
      </w:r>
      <w:proofErr w:type="spellEnd"/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) a través de mandatos de inversión, estrategia que se consolidó en mayo de 2021 con la contratación de tres nuevos mandatarios y el incremento de recursos a los dos </w:t>
      </w:r>
      <w:r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ya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existentes, con lo que se alcanzó un monto de 30 mil millones de pesos asignados a dicha estrategia. </w:t>
      </w:r>
    </w:p>
    <w:p w14:paraId="1271B024" w14:textId="77777777" w:rsidR="006024A1" w:rsidRDefault="006024A1" w:rsidP="009E03D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</w:p>
    <w:p w14:paraId="7990B3EC" w14:textId="48B11F01" w:rsidR="009E03D9" w:rsidRDefault="009E03D9" w:rsidP="009E03D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  <w:r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Lo anterior, </w:t>
      </w:r>
      <w:r w:rsidR="006024A1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derivado de </w:t>
      </w:r>
      <w:r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la instrucción </w:t>
      </w:r>
      <w:r w:rsidR="006024A1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del </w:t>
      </w:r>
      <w:r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>H. Consejo Técnico</w:t>
      </w:r>
      <w:r w:rsidR="006024A1">
        <w:rPr>
          <w:rFonts w:ascii="Montserrat Light" w:eastAsia="Montserrat" w:hAnsi="Montserrat Light" w:cs="Montserrat"/>
          <w:color w:val="444242"/>
          <w:sz w:val="24"/>
          <w:szCs w:val="24"/>
        </w:rPr>
        <w:t>, que</w:t>
      </w:r>
      <w:r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 en junio de 2020</w:t>
      </w:r>
      <w:r w:rsidR="006024A1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 pidió</w:t>
      </w:r>
      <w:r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 diversificar la cartera de inversión. Desde entonces, ese órgano superior de gobierno ha impulsado distintas propuestas para mejorar las inversiones, autorizando nuevos instrumentos financieros y mecanismos de inversión, lo que ha permitido modernizar, en poco tiempo, el régimen de inversión institucional.</w:t>
      </w:r>
    </w:p>
    <w:p w14:paraId="46D7A6F6" w14:textId="77777777" w:rsidR="009E03D9" w:rsidRPr="009E03D9" w:rsidRDefault="009E03D9" w:rsidP="009E03D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</w:p>
    <w:p w14:paraId="7CB0443A" w14:textId="0C797CD7" w:rsidR="009E03D9" w:rsidRDefault="006024A1" w:rsidP="009E03D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  <w:r>
        <w:rPr>
          <w:rFonts w:ascii="Montserrat Light" w:eastAsia="Montserrat" w:hAnsi="Montserrat Light" w:cs="Montserrat"/>
          <w:color w:val="444242"/>
          <w:sz w:val="24"/>
          <w:szCs w:val="24"/>
        </w:rPr>
        <w:t>Con estas acciones</w:t>
      </w:r>
      <w:r w:rsidR="0089388A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 implementadas por la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>Dirección de Finanzas, el Instituto</w:t>
      </w:r>
      <w:r w:rsidR="0089388A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 moderniza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 el régimen de inversión de sus reservas y Fondo Laboral, </w:t>
      </w:r>
      <w:r w:rsidR="0089388A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fortalece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>la diversificación de sus portafolios de inversión</w:t>
      </w:r>
      <w:r w:rsidR="0089388A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 y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su posición entre los inversionistas institucionales más grandes e importantes del país, </w:t>
      </w:r>
      <w:r w:rsidR="0089388A">
        <w:rPr>
          <w:rFonts w:ascii="Montserrat Light" w:eastAsia="Montserrat" w:hAnsi="Montserrat Light" w:cs="Montserrat"/>
          <w:color w:val="444242"/>
          <w:sz w:val="24"/>
          <w:szCs w:val="24"/>
        </w:rPr>
        <w:t xml:space="preserve">además de consolidar </w:t>
      </w:r>
      <w:r w:rsidR="009E03D9" w:rsidRPr="009E03D9">
        <w:rPr>
          <w:rFonts w:ascii="Montserrat Light" w:eastAsia="Montserrat" w:hAnsi="Montserrat Light" w:cs="Montserrat"/>
          <w:color w:val="444242"/>
          <w:sz w:val="24"/>
          <w:szCs w:val="24"/>
        </w:rPr>
        <w:t>la adopción de las mejores prácticas en la gestión de las inversiones y de los riesgos en el Instituto Mexicano del Seguro Social.</w:t>
      </w:r>
    </w:p>
    <w:p w14:paraId="099871AD" w14:textId="77777777" w:rsidR="009E03D9" w:rsidRPr="009E03D9" w:rsidRDefault="009E03D9" w:rsidP="009E03D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color w:val="444242"/>
          <w:sz w:val="24"/>
          <w:szCs w:val="24"/>
        </w:rPr>
      </w:pPr>
    </w:p>
    <w:p w14:paraId="5190501A" w14:textId="1EF0B807" w:rsidR="00874D53" w:rsidRPr="009E03D9" w:rsidRDefault="005A4FE6" w:rsidP="009E03D9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9E03D9">
        <w:rPr>
          <w:rFonts w:ascii="Montserrat Light" w:eastAsia="Batang" w:hAnsi="Montserrat Light" w:cs="Arial"/>
          <w:b/>
          <w:sz w:val="24"/>
        </w:rPr>
        <w:t>---o0o---</w:t>
      </w:r>
    </w:p>
    <w:p w14:paraId="285DE2EB" w14:textId="77777777" w:rsidR="002A3B01" w:rsidRPr="009E03D9" w:rsidRDefault="002A3B01" w:rsidP="009E03D9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sectPr w:rsidR="002A3B01" w:rsidRPr="009E03D9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309A2" w14:textId="77777777" w:rsidR="00F209B0" w:rsidRDefault="00F209B0" w:rsidP="00B24F05">
      <w:pPr>
        <w:spacing w:after="0" w:line="240" w:lineRule="auto"/>
      </w:pPr>
      <w:r>
        <w:separator/>
      </w:r>
    </w:p>
  </w:endnote>
  <w:endnote w:type="continuationSeparator" w:id="0">
    <w:p w14:paraId="21ADB33B" w14:textId="77777777" w:rsidR="00F209B0" w:rsidRDefault="00F209B0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FE7F2" w14:textId="77777777" w:rsidR="00F209B0" w:rsidRDefault="00F209B0" w:rsidP="00B24F05">
      <w:pPr>
        <w:spacing w:after="0" w:line="240" w:lineRule="auto"/>
      </w:pPr>
      <w:r>
        <w:separator/>
      </w:r>
    </w:p>
  </w:footnote>
  <w:footnote w:type="continuationSeparator" w:id="0">
    <w:p w14:paraId="3297B980" w14:textId="77777777" w:rsidR="00F209B0" w:rsidRDefault="00F209B0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9ED"/>
    <w:multiLevelType w:val="multilevel"/>
    <w:tmpl w:val="EA80E3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6646"/>
    <w:multiLevelType w:val="hybridMultilevel"/>
    <w:tmpl w:val="BF72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706"/>
    <w:rsid w:val="000825DC"/>
    <w:rsid w:val="0009093C"/>
    <w:rsid w:val="000A5494"/>
    <w:rsid w:val="000A7557"/>
    <w:rsid w:val="000D6B51"/>
    <w:rsid w:val="000D70E7"/>
    <w:rsid w:val="000F1978"/>
    <w:rsid w:val="000F26AD"/>
    <w:rsid w:val="0013359D"/>
    <w:rsid w:val="0013427C"/>
    <w:rsid w:val="00143C14"/>
    <w:rsid w:val="0015390C"/>
    <w:rsid w:val="00155FE0"/>
    <w:rsid w:val="00171FA5"/>
    <w:rsid w:val="001B3A1C"/>
    <w:rsid w:val="001C011D"/>
    <w:rsid w:val="002016E7"/>
    <w:rsid w:val="00217EE0"/>
    <w:rsid w:val="00234A78"/>
    <w:rsid w:val="00265CBA"/>
    <w:rsid w:val="002922E1"/>
    <w:rsid w:val="002A3B01"/>
    <w:rsid w:val="002B2601"/>
    <w:rsid w:val="002B3243"/>
    <w:rsid w:val="002D4E95"/>
    <w:rsid w:val="002E29A3"/>
    <w:rsid w:val="00306170"/>
    <w:rsid w:val="00315C60"/>
    <w:rsid w:val="00325CBC"/>
    <w:rsid w:val="00327C78"/>
    <w:rsid w:val="003527CF"/>
    <w:rsid w:val="00366015"/>
    <w:rsid w:val="003818A8"/>
    <w:rsid w:val="003825B2"/>
    <w:rsid w:val="0039554E"/>
    <w:rsid w:val="003A35C2"/>
    <w:rsid w:val="003A4852"/>
    <w:rsid w:val="003C1BD5"/>
    <w:rsid w:val="00401E1E"/>
    <w:rsid w:val="004077BC"/>
    <w:rsid w:val="00417278"/>
    <w:rsid w:val="00420C36"/>
    <w:rsid w:val="00423288"/>
    <w:rsid w:val="004325D6"/>
    <w:rsid w:val="0044089A"/>
    <w:rsid w:val="004636A8"/>
    <w:rsid w:val="00467062"/>
    <w:rsid w:val="00487FCC"/>
    <w:rsid w:val="004902E8"/>
    <w:rsid w:val="004A03E1"/>
    <w:rsid w:val="004A6073"/>
    <w:rsid w:val="004C43D2"/>
    <w:rsid w:val="004D1218"/>
    <w:rsid w:val="00503F15"/>
    <w:rsid w:val="00507102"/>
    <w:rsid w:val="00510344"/>
    <w:rsid w:val="00540E31"/>
    <w:rsid w:val="00545F87"/>
    <w:rsid w:val="00550743"/>
    <w:rsid w:val="00551543"/>
    <w:rsid w:val="00557F52"/>
    <w:rsid w:val="00561CA0"/>
    <w:rsid w:val="005802D0"/>
    <w:rsid w:val="005A27BD"/>
    <w:rsid w:val="005A31A1"/>
    <w:rsid w:val="005A4FE6"/>
    <w:rsid w:val="005A54F1"/>
    <w:rsid w:val="005A7928"/>
    <w:rsid w:val="005C451C"/>
    <w:rsid w:val="005C5CE5"/>
    <w:rsid w:val="005C6818"/>
    <w:rsid w:val="005D6DA4"/>
    <w:rsid w:val="005F0853"/>
    <w:rsid w:val="005F66FE"/>
    <w:rsid w:val="006024A1"/>
    <w:rsid w:val="006277F6"/>
    <w:rsid w:val="0063392B"/>
    <w:rsid w:val="00646DAA"/>
    <w:rsid w:val="00661613"/>
    <w:rsid w:val="006717AE"/>
    <w:rsid w:val="0068628C"/>
    <w:rsid w:val="00690DC5"/>
    <w:rsid w:val="00695D59"/>
    <w:rsid w:val="006A0D56"/>
    <w:rsid w:val="006A7AFA"/>
    <w:rsid w:val="006C5120"/>
    <w:rsid w:val="006C7EC5"/>
    <w:rsid w:val="006E2E1E"/>
    <w:rsid w:val="00706E36"/>
    <w:rsid w:val="00711EA6"/>
    <w:rsid w:val="0075345F"/>
    <w:rsid w:val="00756E94"/>
    <w:rsid w:val="007723CB"/>
    <w:rsid w:val="007726D9"/>
    <w:rsid w:val="00792A82"/>
    <w:rsid w:val="007C7B12"/>
    <w:rsid w:val="007F025E"/>
    <w:rsid w:val="007F09E0"/>
    <w:rsid w:val="007F2032"/>
    <w:rsid w:val="00811065"/>
    <w:rsid w:val="00814E54"/>
    <w:rsid w:val="0081582E"/>
    <w:rsid w:val="0083556C"/>
    <w:rsid w:val="00837B80"/>
    <w:rsid w:val="00850F0E"/>
    <w:rsid w:val="00864E92"/>
    <w:rsid w:val="00870148"/>
    <w:rsid w:val="0087323D"/>
    <w:rsid w:val="00874D53"/>
    <w:rsid w:val="008855F7"/>
    <w:rsid w:val="00890C97"/>
    <w:rsid w:val="0089388A"/>
    <w:rsid w:val="008A6DC1"/>
    <w:rsid w:val="008C1C9B"/>
    <w:rsid w:val="008D4ABD"/>
    <w:rsid w:val="008F670F"/>
    <w:rsid w:val="00925D8C"/>
    <w:rsid w:val="00954F13"/>
    <w:rsid w:val="00955F23"/>
    <w:rsid w:val="009703D6"/>
    <w:rsid w:val="00970C45"/>
    <w:rsid w:val="00976F6C"/>
    <w:rsid w:val="0098410A"/>
    <w:rsid w:val="00993E89"/>
    <w:rsid w:val="009A577A"/>
    <w:rsid w:val="009B2D46"/>
    <w:rsid w:val="009C2A70"/>
    <w:rsid w:val="009C545C"/>
    <w:rsid w:val="009E03D9"/>
    <w:rsid w:val="009F7866"/>
    <w:rsid w:val="00A107EC"/>
    <w:rsid w:val="00A15871"/>
    <w:rsid w:val="00A435FD"/>
    <w:rsid w:val="00A75F07"/>
    <w:rsid w:val="00A8409F"/>
    <w:rsid w:val="00A875B6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24F05"/>
    <w:rsid w:val="00B3190E"/>
    <w:rsid w:val="00B638C1"/>
    <w:rsid w:val="00B8783A"/>
    <w:rsid w:val="00BE4A2A"/>
    <w:rsid w:val="00BF397C"/>
    <w:rsid w:val="00BF58B3"/>
    <w:rsid w:val="00C21AD2"/>
    <w:rsid w:val="00C30E8A"/>
    <w:rsid w:val="00C34BB1"/>
    <w:rsid w:val="00C37359"/>
    <w:rsid w:val="00C44D44"/>
    <w:rsid w:val="00CB088F"/>
    <w:rsid w:val="00CB2668"/>
    <w:rsid w:val="00CC3BD6"/>
    <w:rsid w:val="00CD218F"/>
    <w:rsid w:val="00CD244A"/>
    <w:rsid w:val="00CF1D9A"/>
    <w:rsid w:val="00D01624"/>
    <w:rsid w:val="00D12E4A"/>
    <w:rsid w:val="00D7465C"/>
    <w:rsid w:val="00D93C03"/>
    <w:rsid w:val="00DB051F"/>
    <w:rsid w:val="00DE4A9E"/>
    <w:rsid w:val="00E004CD"/>
    <w:rsid w:val="00E26B4D"/>
    <w:rsid w:val="00E312C0"/>
    <w:rsid w:val="00E34800"/>
    <w:rsid w:val="00E35964"/>
    <w:rsid w:val="00E35B72"/>
    <w:rsid w:val="00E628A2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D0985"/>
    <w:rsid w:val="00EE0F6E"/>
    <w:rsid w:val="00EE4D2D"/>
    <w:rsid w:val="00EE6CA0"/>
    <w:rsid w:val="00F036FB"/>
    <w:rsid w:val="00F15D5C"/>
    <w:rsid w:val="00F209B0"/>
    <w:rsid w:val="00F5260E"/>
    <w:rsid w:val="00F74D3F"/>
    <w:rsid w:val="00F819F9"/>
    <w:rsid w:val="00F87D85"/>
    <w:rsid w:val="00FA4104"/>
    <w:rsid w:val="00FA57E3"/>
    <w:rsid w:val="00FA5BA5"/>
    <w:rsid w:val="00FA79E6"/>
    <w:rsid w:val="00FB4DAE"/>
    <w:rsid w:val="00FC121A"/>
    <w:rsid w:val="00FD2870"/>
    <w:rsid w:val="00FE0501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EF12-19E8-4EF0-933E-7D4CB454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2022-04-06T15:35:00Z</dcterms:created>
  <dcterms:modified xsi:type="dcterms:W3CDTF">2022-04-06T15:35:00Z</dcterms:modified>
</cp:coreProperties>
</file>