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2B8E5B8A" w:rsidR="00DA1B19" w:rsidRDefault="004034C5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F8543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viernes 13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D228A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marzo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0FD3B8DF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F8543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135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D95D6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2B8E5B8A" w:rsidR="00DA1B19" w:rsidRDefault="004034C5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F8543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viernes 13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D228A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marzo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0FD3B8DF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F8543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135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D95D6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55EA3081" w14:textId="3E7B7AEE" w:rsidR="007A1DF9" w:rsidRDefault="00D228AF" w:rsidP="00D228AF">
      <w:pPr>
        <w:ind w:left="-567" w:right="-1085"/>
        <w:jc w:val="center"/>
        <w:rPr>
          <w:rFonts w:ascii="Noto Sans" w:hAnsi="Noto Sans" w:cs="Noto Sans"/>
          <w:b/>
          <w:bCs/>
          <w:spacing w:val="-2"/>
          <w:sz w:val="31"/>
          <w:szCs w:val="31"/>
        </w:rPr>
      </w:pPr>
      <w:r w:rsidRPr="00D228AF">
        <w:rPr>
          <w:rFonts w:ascii="Noto Sans" w:hAnsi="Noto Sans" w:cs="Noto Sans"/>
          <w:b/>
          <w:bCs/>
          <w:spacing w:val="-2"/>
          <w:sz w:val="31"/>
          <w:szCs w:val="31"/>
        </w:rPr>
        <w:t>Refuerza IMSS atención a niñas, niños y adolescentes con cáncer con implementación de catéter PICC</w:t>
      </w:r>
    </w:p>
    <w:p w14:paraId="6B38B1F5" w14:textId="77777777" w:rsidR="00D228AF" w:rsidRDefault="00D228AF" w:rsidP="00D228AF">
      <w:pPr>
        <w:ind w:left="-567" w:right="-1085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64CE659" w14:textId="364DAFA2" w:rsidR="000A0E53" w:rsidRPr="000A0E53" w:rsidRDefault="000A0E53" w:rsidP="00DE4889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</w:t>
      </w:r>
      <w:r w:rsidRPr="000A0E53">
        <w:rPr>
          <w:rFonts w:ascii="Noto Sans" w:hAnsi="Noto Sans" w:cs="Noto Sans"/>
          <w:b/>
          <w:bCs/>
          <w:sz w:val="20"/>
          <w:szCs w:val="20"/>
        </w:rPr>
        <w:t xml:space="preserve">l coordinador de Oncología, Donación y Trasplantes, doctor Enrique López Aguilar, </w:t>
      </w:r>
      <w:r>
        <w:rPr>
          <w:rFonts w:ascii="Noto Sans" w:hAnsi="Noto Sans" w:cs="Noto Sans"/>
          <w:b/>
          <w:bCs/>
          <w:sz w:val="20"/>
          <w:szCs w:val="20"/>
        </w:rPr>
        <w:t xml:space="preserve">dijo </w:t>
      </w:r>
      <w:r w:rsidRPr="000A0E53">
        <w:rPr>
          <w:rFonts w:ascii="Noto Sans" w:hAnsi="Noto Sans" w:cs="Noto Sans"/>
          <w:b/>
          <w:bCs/>
          <w:sz w:val="20"/>
          <w:szCs w:val="20"/>
        </w:rPr>
        <w:t xml:space="preserve">que el Seguro Social avanza en la adopción de tecnología basada en evidencia científica, </w:t>
      </w:r>
      <w:r>
        <w:rPr>
          <w:rFonts w:ascii="Noto Sans" w:hAnsi="Noto Sans" w:cs="Noto Sans"/>
          <w:b/>
          <w:bCs/>
          <w:sz w:val="20"/>
          <w:szCs w:val="20"/>
        </w:rPr>
        <w:t xml:space="preserve">a fin de </w:t>
      </w:r>
      <w:r w:rsidRPr="000A0E53">
        <w:rPr>
          <w:rFonts w:ascii="Noto Sans" w:hAnsi="Noto Sans" w:cs="Noto Sans"/>
          <w:b/>
          <w:bCs/>
          <w:sz w:val="20"/>
          <w:szCs w:val="20"/>
        </w:rPr>
        <w:t>mejorar los resultados clínicos y elevar la calidad en la atención oncológica pediátrica.</w:t>
      </w:r>
    </w:p>
    <w:p w14:paraId="093377DD" w14:textId="5333FA8A" w:rsidR="000A0E53" w:rsidRPr="00335627" w:rsidRDefault="00335627" w:rsidP="00DE4889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I</w:t>
      </w:r>
      <w:r w:rsidRPr="00335627">
        <w:rPr>
          <w:rFonts w:ascii="Noto Sans" w:hAnsi="Noto Sans" w:cs="Noto Sans"/>
          <w:b/>
          <w:bCs/>
          <w:sz w:val="20"/>
          <w:szCs w:val="20"/>
        </w:rPr>
        <w:t xml:space="preserve">nformó que más del 95 por ciento de </w:t>
      </w:r>
      <w:r>
        <w:rPr>
          <w:rFonts w:ascii="Noto Sans" w:hAnsi="Noto Sans" w:cs="Noto Sans"/>
          <w:b/>
          <w:bCs/>
          <w:sz w:val="20"/>
          <w:szCs w:val="20"/>
        </w:rPr>
        <w:t xml:space="preserve">menores con cáncer </w:t>
      </w:r>
      <w:r w:rsidRPr="00335627">
        <w:rPr>
          <w:rFonts w:ascii="Noto Sans" w:hAnsi="Noto Sans" w:cs="Noto Sans"/>
          <w:b/>
          <w:bCs/>
          <w:sz w:val="20"/>
          <w:szCs w:val="20"/>
        </w:rPr>
        <w:t>requieren terapia de infusión durante su tratamiento, lo que hace indispensable contar con dispositivos especializados que garanticen estabilidad, continuidad y reducción de riesgos.</w:t>
      </w:r>
    </w:p>
    <w:p w14:paraId="2C480BE3" w14:textId="2A22DB89" w:rsidR="00DE4889" w:rsidRPr="00E232EA" w:rsidRDefault="00DE4889" w:rsidP="00DE4889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sz w:val="20"/>
          <w:szCs w:val="20"/>
        </w:rPr>
      </w:pPr>
      <w:r w:rsidRPr="00E232EA">
        <w:rPr>
          <w:rFonts w:ascii="Noto Sans" w:hAnsi="Noto Sans" w:cs="Noto Sans"/>
          <w:b/>
          <w:bCs/>
          <w:sz w:val="20"/>
          <w:szCs w:val="20"/>
        </w:rPr>
        <w:t xml:space="preserve">Se llevó a cabo la sesión </w:t>
      </w:r>
      <w:r w:rsidRPr="00510C40">
        <w:rPr>
          <w:rFonts w:ascii="Noto Sans" w:hAnsi="Noto Sans" w:cs="Noto Sans"/>
          <w:b/>
          <w:bCs/>
          <w:sz w:val="20"/>
          <w:szCs w:val="20"/>
        </w:rPr>
        <w:t>18</w:t>
      </w:r>
      <w:r w:rsidR="00D228AF">
        <w:rPr>
          <w:rFonts w:ascii="Noto Sans" w:hAnsi="Noto Sans" w:cs="Noto Sans"/>
          <w:b/>
          <w:bCs/>
          <w:sz w:val="20"/>
          <w:szCs w:val="20"/>
        </w:rPr>
        <w:t>9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E232EA">
        <w:rPr>
          <w:rFonts w:ascii="Noto Sans" w:hAnsi="Noto Sans" w:cs="Noto Sans"/>
          <w:b/>
          <w:bCs/>
          <w:sz w:val="20"/>
          <w:szCs w:val="20"/>
        </w:rPr>
        <w:t xml:space="preserve">del grupo de trabajo entre autoridades del IMSS y </w:t>
      </w:r>
      <w:r>
        <w:rPr>
          <w:rFonts w:ascii="Noto Sans" w:hAnsi="Noto Sans" w:cs="Noto Sans"/>
          <w:b/>
          <w:bCs/>
          <w:sz w:val="20"/>
          <w:szCs w:val="20"/>
        </w:rPr>
        <w:t xml:space="preserve">las madres y los </w:t>
      </w:r>
      <w:r w:rsidRPr="00E232EA">
        <w:rPr>
          <w:rFonts w:ascii="Noto Sans" w:hAnsi="Noto Sans" w:cs="Noto Sans"/>
          <w:b/>
          <w:bCs/>
          <w:sz w:val="20"/>
          <w:szCs w:val="20"/>
        </w:rPr>
        <w:t xml:space="preserve">padres de menores con cáncer, atendidos en unidades médicas del </w:t>
      </w:r>
      <w:r>
        <w:rPr>
          <w:rFonts w:ascii="Noto Sans" w:hAnsi="Noto Sans" w:cs="Noto Sans"/>
          <w:b/>
          <w:bCs/>
          <w:sz w:val="20"/>
          <w:szCs w:val="20"/>
        </w:rPr>
        <w:t>Seguro Social</w:t>
      </w:r>
      <w:r w:rsidRPr="00E232EA"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3F76B99B" w14:textId="77777777" w:rsidR="00030C62" w:rsidRPr="00D9697F" w:rsidRDefault="00030C62" w:rsidP="00030C62">
      <w:pPr>
        <w:pStyle w:val="Prrafodelista"/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63B1FAD" w14:textId="2B9AAA71" w:rsidR="007F6820" w:rsidRDefault="00D228AF" w:rsidP="007F6820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D228AF">
        <w:rPr>
          <w:rFonts w:ascii="Noto Sans" w:hAnsi="Noto Sans" w:cs="Noto Sans"/>
          <w:sz w:val="20"/>
          <w:szCs w:val="20"/>
        </w:rPr>
        <w:t>El Instituto Mexicano del Seguro Social (IMSS) fortalece la atención integral a pacientes pediátricos bajo tratamiento oncológico al iniciar la implementación de catéteres centrales de inserción periférica (PICC) en adolescentes, además de consolidar el uso de catéteres puerto (Port-a-Cath), como parte de la estrategia para elevar la seguridad en la administración de quimioterapia y otros tratamientos intravenosos prolongados.</w:t>
      </w:r>
    </w:p>
    <w:p w14:paraId="205A98C1" w14:textId="77777777" w:rsidR="00D228AF" w:rsidRDefault="00D228AF" w:rsidP="007F6820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3A69E1F7" w14:textId="04E2B48A" w:rsidR="000A0E53" w:rsidRDefault="00802A6B" w:rsidP="00AB3EDD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Durante la </w:t>
      </w:r>
      <w:r w:rsidR="00D228AF" w:rsidRPr="007F6820">
        <w:rPr>
          <w:rFonts w:ascii="Noto Sans" w:hAnsi="Noto Sans" w:cs="Noto Sans"/>
          <w:sz w:val="20"/>
          <w:szCs w:val="20"/>
        </w:rPr>
        <w:t xml:space="preserve">reunión virtual entre las autoridades del </w:t>
      </w:r>
      <w:r w:rsidR="00D228AF">
        <w:rPr>
          <w:rFonts w:ascii="Noto Sans" w:hAnsi="Noto Sans" w:cs="Noto Sans"/>
          <w:sz w:val="20"/>
          <w:szCs w:val="20"/>
        </w:rPr>
        <w:t xml:space="preserve">IMSS </w:t>
      </w:r>
      <w:r w:rsidR="00D228AF" w:rsidRPr="007F6820">
        <w:rPr>
          <w:rFonts w:ascii="Noto Sans" w:hAnsi="Noto Sans" w:cs="Noto Sans"/>
          <w:sz w:val="20"/>
          <w:szCs w:val="20"/>
        </w:rPr>
        <w:t xml:space="preserve">con las madres y los padres de </w:t>
      </w:r>
      <w:r w:rsidR="00D228AF">
        <w:rPr>
          <w:rFonts w:ascii="Noto Sans" w:hAnsi="Noto Sans" w:cs="Noto Sans"/>
          <w:sz w:val="20"/>
          <w:szCs w:val="20"/>
        </w:rPr>
        <w:t>pacientes pediátricos oncológicos</w:t>
      </w:r>
      <w:r w:rsidR="00D228AF" w:rsidRPr="007F6820">
        <w:rPr>
          <w:rFonts w:ascii="Noto Sans" w:hAnsi="Noto Sans" w:cs="Noto Sans"/>
          <w:sz w:val="20"/>
          <w:szCs w:val="20"/>
        </w:rPr>
        <w:t>,</w:t>
      </w:r>
      <w:r w:rsidR="00D228AF">
        <w:rPr>
          <w:rFonts w:ascii="Noto Sans" w:hAnsi="Noto Sans" w:cs="Noto Sans"/>
          <w:sz w:val="20"/>
          <w:szCs w:val="20"/>
        </w:rPr>
        <w:t xml:space="preserve"> </w:t>
      </w:r>
      <w:r w:rsidR="00D228AF" w:rsidRPr="008D3581">
        <w:rPr>
          <w:rFonts w:ascii="Noto Sans" w:hAnsi="Noto Sans" w:cs="Noto Sans"/>
          <w:sz w:val="20"/>
          <w:szCs w:val="20"/>
        </w:rPr>
        <w:t xml:space="preserve">el </w:t>
      </w:r>
      <w:r w:rsidR="00D228AF">
        <w:rPr>
          <w:rFonts w:ascii="Noto Sans" w:hAnsi="Noto Sans" w:cs="Noto Sans"/>
          <w:sz w:val="20"/>
          <w:szCs w:val="20"/>
        </w:rPr>
        <w:t xml:space="preserve">coordinador </w:t>
      </w:r>
      <w:r w:rsidR="00D228AF" w:rsidRPr="008D3581">
        <w:rPr>
          <w:rFonts w:ascii="Noto Sans" w:hAnsi="Noto Sans" w:cs="Noto Sans"/>
          <w:sz w:val="20"/>
          <w:szCs w:val="20"/>
        </w:rPr>
        <w:t>de Oncología, Donación y Trasplantes,</w:t>
      </w:r>
      <w:r w:rsidR="00D228AF">
        <w:rPr>
          <w:rFonts w:ascii="Noto Sans" w:hAnsi="Noto Sans" w:cs="Noto Sans"/>
          <w:sz w:val="20"/>
          <w:szCs w:val="20"/>
        </w:rPr>
        <w:t xml:space="preserve"> </w:t>
      </w:r>
      <w:r w:rsidR="00D228AF" w:rsidRPr="008D3581">
        <w:rPr>
          <w:rFonts w:ascii="Noto Sans" w:hAnsi="Noto Sans" w:cs="Noto Sans"/>
          <w:sz w:val="20"/>
          <w:szCs w:val="20"/>
        </w:rPr>
        <w:t xml:space="preserve">doctor Enrique López Aguilar, </w:t>
      </w:r>
      <w:r w:rsidR="000A0E53">
        <w:rPr>
          <w:rFonts w:ascii="Noto Sans" w:hAnsi="Noto Sans" w:cs="Noto Sans"/>
          <w:sz w:val="20"/>
          <w:szCs w:val="20"/>
        </w:rPr>
        <w:t xml:space="preserve">indicó </w:t>
      </w:r>
      <w:r w:rsidR="00D228AF" w:rsidRPr="00D228AF">
        <w:rPr>
          <w:rFonts w:ascii="Noto Sans" w:hAnsi="Noto Sans" w:cs="Noto Sans"/>
          <w:sz w:val="20"/>
          <w:szCs w:val="20"/>
        </w:rPr>
        <w:t xml:space="preserve">que </w:t>
      </w:r>
      <w:r w:rsidR="000A0E53">
        <w:rPr>
          <w:rFonts w:ascii="Noto Sans" w:hAnsi="Noto Sans" w:cs="Noto Sans"/>
          <w:sz w:val="20"/>
          <w:szCs w:val="20"/>
        </w:rPr>
        <w:t xml:space="preserve">el Seguro Social avanza </w:t>
      </w:r>
      <w:r w:rsidR="000A0E53" w:rsidRPr="00D228AF">
        <w:rPr>
          <w:rFonts w:ascii="Noto Sans" w:hAnsi="Noto Sans" w:cs="Noto Sans"/>
          <w:sz w:val="20"/>
          <w:szCs w:val="20"/>
        </w:rPr>
        <w:t>en la adopción de tecnología basada en evidencia</w:t>
      </w:r>
      <w:r w:rsidR="000A0E53">
        <w:rPr>
          <w:rFonts w:ascii="Noto Sans" w:hAnsi="Noto Sans" w:cs="Noto Sans"/>
          <w:sz w:val="20"/>
          <w:szCs w:val="20"/>
        </w:rPr>
        <w:t xml:space="preserve"> científica</w:t>
      </w:r>
      <w:r w:rsidR="000A0E53" w:rsidRPr="00D228AF">
        <w:rPr>
          <w:rFonts w:ascii="Noto Sans" w:hAnsi="Noto Sans" w:cs="Noto Sans"/>
          <w:sz w:val="20"/>
          <w:szCs w:val="20"/>
        </w:rPr>
        <w:t>, con el propósito de mejorar los resultados clínicos y elevar la calidad en la atención oncológica pediátrica.</w:t>
      </w:r>
    </w:p>
    <w:p w14:paraId="3ACB49D0" w14:textId="77777777" w:rsidR="000A0E53" w:rsidRDefault="000A0E53" w:rsidP="00AB3EDD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12825964" w14:textId="77777777" w:rsidR="000A0E53" w:rsidRDefault="000A0E53" w:rsidP="000A0E53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Por ello, el doctor Enrique López Aguilar subrayó que </w:t>
      </w:r>
      <w:r w:rsidRPr="00D228AF">
        <w:rPr>
          <w:rFonts w:ascii="Noto Sans" w:hAnsi="Noto Sans" w:cs="Noto Sans"/>
          <w:sz w:val="20"/>
          <w:szCs w:val="20"/>
        </w:rPr>
        <w:t xml:space="preserve">esta acción forma parte del modelo institucional para optimizar el acceso vascular seguro en niñas, niños y adolescentes con enfermedades </w:t>
      </w:r>
      <w:proofErr w:type="spellStart"/>
      <w:r w:rsidRPr="00D228AF">
        <w:rPr>
          <w:rFonts w:ascii="Noto Sans" w:hAnsi="Noto Sans" w:cs="Noto Sans"/>
          <w:sz w:val="20"/>
          <w:szCs w:val="20"/>
        </w:rPr>
        <w:t>hemato</w:t>
      </w:r>
      <w:proofErr w:type="spellEnd"/>
      <w:r w:rsidRPr="00D228AF">
        <w:rPr>
          <w:rFonts w:ascii="Noto Sans" w:hAnsi="Noto Sans" w:cs="Noto Sans"/>
          <w:sz w:val="20"/>
          <w:szCs w:val="20"/>
        </w:rPr>
        <w:t xml:space="preserve">-oncológicas. </w:t>
      </w:r>
    </w:p>
    <w:p w14:paraId="4AA5C0B4" w14:textId="77777777" w:rsidR="000A0E53" w:rsidRDefault="000A0E53" w:rsidP="00AB3EDD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2534AA87" w14:textId="468DE0A2" w:rsidR="00AB3EDD" w:rsidRPr="00D228AF" w:rsidRDefault="000A0E53" w:rsidP="00AB3EDD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B32BFD">
        <w:rPr>
          <w:rFonts w:ascii="Noto Sans" w:hAnsi="Noto Sans" w:cs="Noto Sans"/>
          <w:sz w:val="20"/>
          <w:szCs w:val="20"/>
        </w:rPr>
        <w:t>Durante la sesión 18</w:t>
      </w:r>
      <w:r>
        <w:rPr>
          <w:rFonts w:ascii="Noto Sans" w:hAnsi="Noto Sans" w:cs="Noto Sans"/>
          <w:sz w:val="20"/>
          <w:szCs w:val="20"/>
        </w:rPr>
        <w:t>9</w:t>
      </w:r>
      <w:r w:rsidRPr="00B32BFD">
        <w:rPr>
          <w:rFonts w:ascii="Noto Sans" w:hAnsi="Noto Sans" w:cs="Noto Sans"/>
          <w:sz w:val="20"/>
          <w:szCs w:val="20"/>
        </w:rPr>
        <w:t xml:space="preserve"> del grupo de trabajo para la atención de menores bajo tratamiento oncológico,</w:t>
      </w:r>
      <w:r>
        <w:rPr>
          <w:rFonts w:ascii="Noto Sans" w:hAnsi="Noto Sans" w:cs="Noto Sans"/>
          <w:sz w:val="20"/>
          <w:szCs w:val="20"/>
        </w:rPr>
        <w:t xml:space="preserve"> destacó que </w:t>
      </w:r>
      <w:r w:rsidR="00AB3EDD">
        <w:rPr>
          <w:rFonts w:ascii="Noto Sans" w:hAnsi="Noto Sans" w:cs="Noto Sans"/>
          <w:sz w:val="20"/>
          <w:szCs w:val="20"/>
        </w:rPr>
        <w:t>el I</w:t>
      </w:r>
      <w:r w:rsidR="00AB3EDD" w:rsidRPr="00AB3EDD">
        <w:rPr>
          <w:rFonts w:ascii="Noto Sans" w:hAnsi="Noto Sans" w:cs="Noto Sans"/>
          <w:sz w:val="20"/>
          <w:szCs w:val="20"/>
        </w:rPr>
        <w:t xml:space="preserve">nstituto </w:t>
      </w:r>
      <w:r w:rsidR="00AB3EDD">
        <w:rPr>
          <w:rFonts w:ascii="Noto Sans" w:hAnsi="Noto Sans" w:cs="Noto Sans"/>
          <w:sz w:val="20"/>
          <w:szCs w:val="20"/>
        </w:rPr>
        <w:t xml:space="preserve">ha </w:t>
      </w:r>
      <w:r w:rsidR="00AB3EDD" w:rsidRPr="00D228AF">
        <w:rPr>
          <w:rFonts w:ascii="Noto Sans" w:hAnsi="Noto Sans" w:cs="Noto Sans"/>
          <w:sz w:val="20"/>
          <w:szCs w:val="20"/>
        </w:rPr>
        <w:t xml:space="preserve">iniciado procesos de capacitación para la colocación y manejo de los PICC en adolescentes, </w:t>
      </w:r>
      <w:r w:rsidR="00AB3EDD">
        <w:rPr>
          <w:rFonts w:ascii="Noto Sans" w:hAnsi="Noto Sans" w:cs="Noto Sans"/>
          <w:sz w:val="20"/>
          <w:szCs w:val="20"/>
        </w:rPr>
        <w:t xml:space="preserve">a fin de garantizar una </w:t>
      </w:r>
      <w:r w:rsidR="00AB3EDD" w:rsidRPr="00D228AF">
        <w:rPr>
          <w:rFonts w:ascii="Noto Sans" w:hAnsi="Noto Sans" w:cs="Noto Sans"/>
          <w:sz w:val="20"/>
          <w:szCs w:val="20"/>
        </w:rPr>
        <w:t xml:space="preserve">atención segura y </w:t>
      </w:r>
      <w:r w:rsidR="00AB3EDD">
        <w:rPr>
          <w:rFonts w:ascii="Noto Sans" w:hAnsi="Noto Sans" w:cs="Noto Sans"/>
          <w:sz w:val="20"/>
          <w:szCs w:val="20"/>
        </w:rPr>
        <w:t xml:space="preserve">focalizada </w:t>
      </w:r>
      <w:r w:rsidR="00AB3EDD" w:rsidRPr="00D228AF">
        <w:rPr>
          <w:rFonts w:ascii="Noto Sans" w:hAnsi="Noto Sans" w:cs="Noto Sans"/>
          <w:sz w:val="20"/>
          <w:szCs w:val="20"/>
        </w:rPr>
        <w:t>en la persona.</w:t>
      </w:r>
    </w:p>
    <w:p w14:paraId="2EB8D275" w14:textId="634B59BB" w:rsidR="00AB3EDD" w:rsidRPr="00D228AF" w:rsidRDefault="00AB3EDD" w:rsidP="00AB3EDD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1E7CC14A" w14:textId="65612FE9" w:rsidR="00AB3EDD" w:rsidRDefault="000A0E53" w:rsidP="00AB3EDD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Expuso</w:t>
      </w:r>
      <w:r w:rsidR="00AB3EDD">
        <w:rPr>
          <w:rFonts w:ascii="Noto Sans" w:hAnsi="Noto Sans" w:cs="Noto Sans"/>
          <w:sz w:val="20"/>
          <w:szCs w:val="20"/>
        </w:rPr>
        <w:t xml:space="preserve"> que </w:t>
      </w:r>
      <w:r w:rsidR="00AB3EDD" w:rsidRPr="00D228AF">
        <w:rPr>
          <w:rFonts w:ascii="Noto Sans" w:hAnsi="Noto Sans" w:cs="Noto Sans"/>
          <w:sz w:val="20"/>
          <w:szCs w:val="20"/>
        </w:rPr>
        <w:t xml:space="preserve">el uso de acceso vascular central es una práctica estándar en pacientes que requieren tratamientos prolongados, por su aporte a la seguridad, confort y continuidad terapéutica. </w:t>
      </w:r>
    </w:p>
    <w:p w14:paraId="038A8D57" w14:textId="77777777" w:rsidR="00AB3EDD" w:rsidRDefault="00AB3EDD" w:rsidP="00AB3EDD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7B2D9B4A" w14:textId="232E08BF" w:rsidR="00D228AF" w:rsidRPr="00D228AF" w:rsidRDefault="00AB3EDD" w:rsidP="00D228AF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López Aguilar informó que </w:t>
      </w:r>
      <w:r w:rsidR="00D228AF" w:rsidRPr="00D228AF">
        <w:rPr>
          <w:rFonts w:ascii="Noto Sans" w:hAnsi="Noto Sans" w:cs="Noto Sans"/>
          <w:sz w:val="20"/>
          <w:szCs w:val="20"/>
        </w:rPr>
        <w:t>más del 95</w:t>
      </w:r>
      <w:r>
        <w:rPr>
          <w:rFonts w:ascii="Noto Sans" w:hAnsi="Noto Sans" w:cs="Noto Sans"/>
          <w:sz w:val="20"/>
          <w:szCs w:val="20"/>
        </w:rPr>
        <w:t xml:space="preserve"> por ciento </w:t>
      </w:r>
      <w:r w:rsidR="00D228AF" w:rsidRPr="00D228AF">
        <w:rPr>
          <w:rFonts w:ascii="Noto Sans" w:hAnsi="Noto Sans" w:cs="Noto Sans"/>
          <w:sz w:val="20"/>
          <w:szCs w:val="20"/>
        </w:rPr>
        <w:t>de pacientes pediátricos oncológicos requieren terapia de infusión durante su tratamiento, lo que hace indispensable contar con dispositivos especializados que garanticen estabilidad, continuidad y reducción de riesgos.</w:t>
      </w:r>
    </w:p>
    <w:p w14:paraId="6FD68ABA" w14:textId="77777777" w:rsidR="00D228AF" w:rsidRDefault="00D228AF" w:rsidP="00D228AF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1FAB6EC7" w14:textId="4C659852" w:rsidR="00D228AF" w:rsidRPr="00D228AF" w:rsidRDefault="000A0E53" w:rsidP="00D228AF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 xml:space="preserve">Añadió que </w:t>
      </w:r>
      <w:r w:rsidR="00D228AF" w:rsidRPr="00D228AF">
        <w:rPr>
          <w:rFonts w:ascii="Noto Sans" w:hAnsi="Noto Sans" w:cs="Noto Sans"/>
          <w:sz w:val="20"/>
          <w:szCs w:val="20"/>
        </w:rPr>
        <w:t>los dispositivos PICC permiten administrar de manera segura medicamentos vesicantes y otros fármacos de alto riesgo utilizados en quimioterapia, inmunoterapia y protocolos complejos</w:t>
      </w:r>
      <w:r>
        <w:rPr>
          <w:rFonts w:ascii="Noto Sans" w:hAnsi="Noto Sans" w:cs="Noto Sans"/>
          <w:sz w:val="20"/>
          <w:szCs w:val="20"/>
        </w:rPr>
        <w:t>, por lo que su</w:t>
      </w:r>
      <w:r w:rsidR="00D228AF" w:rsidRPr="00D228AF">
        <w:rPr>
          <w:rFonts w:ascii="Noto Sans" w:hAnsi="Noto Sans" w:cs="Noto Sans"/>
          <w:sz w:val="20"/>
          <w:szCs w:val="20"/>
        </w:rPr>
        <w:t xml:space="preserve"> uso resulta adecuado para tratamientos de más de 30 días y hasta seis meses, especialmente en esquemas </w:t>
      </w:r>
      <w:r>
        <w:rPr>
          <w:rFonts w:ascii="Noto Sans" w:hAnsi="Noto Sans" w:cs="Noto Sans"/>
          <w:sz w:val="20"/>
          <w:szCs w:val="20"/>
        </w:rPr>
        <w:t>específicos</w:t>
      </w:r>
      <w:r w:rsidR="00D228AF" w:rsidRPr="00D228AF">
        <w:rPr>
          <w:rFonts w:ascii="Noto Sans" w:hAnsi="Noto Sans" w:cs="Noto Sans"/>
          <w:sz w:val="20"/>
          <w:szCs w:val="20"/>
        </w:rPr>
        <w:t xml:space="preserve"> y terapias blanco, donde la protección del acceso venoso es fundamental.</w:t>
      </w:r>
    </w:p>
    <w:p w14:paraId="5D0A3820" w14:textId="77777777" w:rsidR="00D228AF" w:rsidRDefault="00D228AF" w:rsidP="00D228AF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535F6231" w14:textId="77777777" w:rsidR="000A0E53" w:rsidRDefault="000A0E53" w:rsidP="00D228AF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Pr="008D3581">
        <w:rPr>
          <w:rFonts w:ascii="Noto Sans" w:hAnsi="Noto Sans" w:cs="Noto Sans"/>
          <w:sz w:val="20"/>
          <w:szCs w:val="20"/>
        </w:rPr>
        <w:t>l oncólogo pediatra</w:t>
      </w:r>
      <w:r w:rsidRPr="004F47B7">
        <w:rPr>
          <w:rFonts w:ascii="Noto Sans" w:hAnsi="Noto Sans" w:cs="Noto Sans"/>
          <w:b/>
          <w:bCs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del IMSS señaló </w:t>
      </w:r>
      <w:r w:rsidR="00D228AF" w:rsidRPr="00D228AF">
        <w:rPr>
          <w:rFonts w:ascii="Noto Sans" w:hAnsi="Noto Sans" w:cs="Noto Sans"/>
          <w:sz w:val="20"/>
          <w:szCs w:val="20"/>
        </w:rPr>
        <w:t xml:space="preserve">que la incorporación progresiva de los PICC se suma al uso consolidado de los catéteres puerto, indicados para tratamientos intermitentes o prolongados de más de seis meses. </w:t>
      </w:r>
    </w:p>
    <w:p w14:paraId="7240EA41" w14:textId="77777777" w:rsidR="000A0E53" w:rsidRDefault="000A0E53" w:rsidP="00D228AF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0EC59CBE" w14:textId="707DB2CB" w:rsidR="00D228AF" w:rsidRPr="00D228AF" w:rsidRDefault="000A0E53" w:rsidP="00D228AF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Explicó que a</w:t>
      </w:r>
      <w:r w:rsidR="00D228AF" w:rsidRPr="00D228AF">
        <w:rPr>
          <w:rFonts w:ascii="Noto Sans" w:hAnsi="Noto Sans" w:cs="Noto Sans"/>
          <w:sz w:val="20"/>
          <w:szCs w:val="20"/>
        </w:rPr>
        <w:t>mbos dispositivos se seleccionan según la duración del tratamiento, el tipo de terapia y las condiciones clínicas de</w:t>
      </w:r>
      <w:r w:rsidR="00F646CA">
        <w:rPr>
          <w:rFonts w:ascii="Noto Sans" w:hAnsi="Noto Sans" w:cs="Noto Sans"/>
          <w:sz w:val="20"/>
          <w:szCs w:val="20"/>
        </w:rPr>
        <w:t xml:space="preserve"> cada</w:t>
      </w:r>
      <w:r w:rsidR="00D228AF" w:rsidRPr="00D228AF">
        <w:rPr>
          <w:rFonts w:ascii="Noto Sans" w:hAnsi="Noto Sans" w:cs="Noto Sans"/>
          <w:sz w:val="20"/>
          <w:szCs w:val="20"/>
        </w:rPr>
        <w:t xml:space="preserve"> paciente, con el fin de asegurar un acceso vascular oportuno y adecuado.</w:t>
      </w:r>
    </w:p>
    <w:p w14:paraId="1A91B251" w14:textId="77777777" w:rsidR="00D228AF" w:rsidRDefault="00D228AF" w:rsidP="00D228AF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53D6C294" w14:textId="48124971" w:rsidR="000A0E53" w:rsidRDefault="000A0E53" w:rsidP="00D228AF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coordinador de Oncología, Donación y Trasplantes del IMSS añadió que </w:t>
      </w:r>
      <w:r w:rsidR="00F646CA" w:rsidRPr="00D228AF">
        <w:rPr>
          <w:rFonts w:ascii="Noto Sans" w:hAnsi="Noto Sans" w:cs="Noto Sans"/>
          <w:sz w:val="20"/>
          <w:szCs w:val="20"/>
        </w:rPr>
        <w:t>la implementación de estas tecnologías contribuye</w:t>
      </w:r>
      <w:r w:rsidR="00D228AF" w:rsidRPr="00D228AF">
        <w:rPr>
          <w:rFonts w:ascii="Noto Sans" w:hAnsi="Noto Sans" w:cs="Noto Sans"/>
          <w:sz w:val="20"/>
          <w:szCs w:val="20"/>
        </w:rPr>
        <w:t xml:space="preserve"> a disminuir complicaciones como daño tisular, dolor, flebitis y eventos graves asociados a extravasación, además de evitar punciones repetidas y facilitar la continuidad terapéutica. </w:t>
      </w:r>
    </w:p>
    <w:p w14:paraId="485884A4" w14:textId="77777777" w:rsidR="000A0E53" w:rsidRDefault="000A0E53" w:rsidP="00D228AF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17EE57CD" w14:textId="041FF123" w:rsidR="003050B8" w:rsidRDefault="003050B8" w:rsidP="003050B8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Por otra parte</w:t>
      </w:r>
      <w:r w:rsidRPr="00D116B7">
        <w:rPr>
          <w:rFonts w:ascii="Noto Sans" w:hAnsi="Noto Sans" w:cs="Noto Sans"/>
          <w:sz w:val="20"/>
          <w:szCs w:val="20"/>
        </w:rPr>
        <w:t xml:space="preserve">, </w:t>
      </w:r>
      <w:r w:rsidRPr="00100023">
        <w:rPr>
          <w:rFonts w:ascii="Noto Sans" w:hAnsi="Noto Sans" w:cs="Noto Sans"/>
          <w:sz w:val="20"/>
          <w:szCs w:val="20"/>
        </w:rPr>
        <w:t>Faustino Garduño González</w:t>
      </w:r>
      <w:r>
        <w:rPr>
          <w:rFonts w:ascii="Noto Sans" w:hAnsi="Noto Sans" w:cs="Noto Sans"/>
          <w:sz w:val="20"/>
          <w:szCs w:val="20"/>
        </w:rPr>
        <w:t>, j</w:t>
      </w:r>
      <w:r w:rsidRPr="00A02E4B">
        <w:rPr>
          <w:rFonts w:ascii="Noto Sans" w:hAnsi="Noto Sans" w:cs="Noto Sans"/>
          <w:sz w:val="20"/>
          <w:szCs w:val="20"/>
        </w:rPr>
        <w:t>efe de la División de Servicios Digitales y de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A02E4B">
        <w:rPr>
          <w:rFonts w:ascii="Noto Sans" w:hAnsi="Noto Sans" w:cs="Noto Sans"/>
          <w:sz w:val="20"/>
          <w:szCs w:val="20"/>
        </w:rPr>
        <w:t xml:space="preserve">Información para el Cuidado Digital de la Salud </w:t>
      </w:r>
      <w:r w:rsidRPr="00100023">
        <w:rPr>
          <w:rFonts w:ascii="Noto Sans" w:hAnsi="Noto Sans" w:cs="Noto Sans"/>
          <w:sz w:val="20"/>
          <w:szCs w:val="20"/>
        </w:rPr>
        <w:t>del IMSS</w:t>
      </w:r>
      <w:r>
        <w:rPr>
          <w:rFonts w:ascii="Noto Sans" w:hAnsi="Noto Sans" w:cs="Noto Sans"/>
          <w:sz w:val="20"/>
          <w:szCs w:val="20"/>
        </w:rPr>
        <w:t xml:space="preserve">, </w:t>
      </w:r>
      <w:r w:rsidRPr="003E282E">
        <w:rPr>
          <w:rFonts w:ascii="Noto Sans" w:hAnsi="Noto Sans" w:cs="Noto Sans"/>
          <w:sz w:val="20"/>
          <w:szCs w:val="20"/>
        </w:rPr>
        <w:t xml:space="preserve">dio a conocer que se incorporaron </w:t>
      </w:r>
      <w:r w:rsidR="00736B30" w:rsidRPr="00736B30">
        <w:rPr>
          <w:rFonts w:ascii="Noto Sans" w:hAnsi="Noto Sans" w:cs="Noto Sans"/>
          <w:sz w:val="20"/>
          <w:szCs w:val="20"/>
        </w:rPr>
        <w:t>124</w:t>
      </w:r>
      <w:r w:rsidR="00736B3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F646CA" w:rsidRPr="00F646CA">
        <w:rPr>
          <w:rFonts w:ascii="Noto Sans" w:hAnsi="Noto Sans" w:cs="Noto Sans"/>
          <w:sz w:val="20"/>
          <w:szCs w:val="20"/>
        </w:rPr>
        <w:t>personas</w:t>
      </w:r>
      <w:r w:rsidR="00F646C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E282E">
        <w:rPr>
          <w:rFonts w:ascii="Noto Sans" w:hAnsi="Noto Sans" w:cs="Noto Sans"/>
          <w:sz w:val="20"/>
          <w:szCs w:val="20"/>
        </w:rPr>
        <w:t xml:space="preserve">derechohabientes en las últimas semanas a la plataforma de registro de tratamientos oncológicos; suman </w:t>
      </w:r>
      <w:r w:rsidR="00B57C70" w:rsidRPr="00B57C70">
        <w:rPr>
          <w:rFonts w:ascii="Noto Sans" w:hAnsi="Noto Sans" w:cs="Noto Sans"/>
          <w:sz w:val="20"/>
          <w:szCs w:val="20"/>
        </w:rPr>
        <w:t>25</w:t>
      </w:r>
      <w:r w:rsidR="00B57C7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E282E">
        <w:rPr>
          <w:rFonts w:ascii="Noto Sans" w:hAnsi="Noto Sans" w:cs="Noto Sans"/>
          <w:sz w:val="20"/>
          <w:szCs w:val="20"/>
        </w:rPr>
        <w:t xml:space="preserve">mil </w:t>
      </w:r>
      <w:r w:rsidR="00F646CA">
        <w:rPr>
          <w:rFonts w:ascii="Noto Sans" w:hAnsi="Noto Sans" w:cs="Noto Sans"/>
          <w:sz w:val="20"/>
          <w:szCs w:val="20"/>
        </w:rPr>
        <w:t xml:space="preserve">367 </w:t>
      </w:r>
      <w:r w:rsidRPr="003E282E">
        <w:rPr>
          <w:rFonts w:ascii="Noto Sans" w:hAnsi="Noto Sans" w:cs="Noto Sans"/>
          <w:sz w:val="20"/>
          <w:szCs w:val="20"/>
        </w:rPr>
        <w:t xml:space="preserve">pacientes </w:t>
      </w:r>
      <w:r w:rsidR="00F646CA">
        <w:rPr>
          <w:rFonts w:ascii="Noto Sans" w:hAnsi="Noto Sans" w:cs="Noto Sans"/>
          <w:sz w:val="20"/>
          <w:szCs w:val="20"/>
        </w:rPr>
        <w:t>(</w:t>
      </w:r>
      <w:r w:rsidR="00736B30">
        <w:rPr>
          <w:rFonts w:ascii="Noto Sans" w:hAnsi="Noto Sans" w:cs="Noto Sans"/>
          <w:sz w:val="20"/>
          <w:szCs w:val="20"/>
        </w:rPr>
        <w:t xml:space="preserve">31 </w:t>
      </w:r>
      <w:r w:rsidRPr="003E282E">
        <w:rPr>
          <w:rFonts w:ascii="Noto Sans" w:hAnsi="Noto Sans" w:cs="Noto Sans"/>
          <w:sz w:val="20"/>
          <w:szCs w:val="20"/>
        </w:rPr>
        <w:t xml:space="preserve">por ciento pediátricos y </w:t>
      </w:r>
      <w:r w:rsidR="00736B30">
        <w:rPr>
          <w:rFonts w:ascii="Noto Sans" w:hAnsi="Noto Sans" w:cs="Noto Sans"/>
          <w:sz w:val="20"/>
          <w:szCs w:val="20"/>
        </w:rPr>
        <w:t xml:space="preserve">69 </w:t>
      </w:r>
      <w:r w:rsidRPr="003E282E">
        <w:rPr>
          <w:rFonts w:ascii="Noto Sans" w:hAnsi="Noto Sans" w:cs="Noto Sans"/>
          <w:sz w:val="20"/>
          <w:szCs w:val="20"/>
        </w:rPr>
        <w:t xml:space="preserve">por ciento </w:t>
      </w:r>
      <w:r w:rsidR="00F646CA">
        <w:rPr>
          <w:rFonts w:ascii="Noto Sans" w:hAnsi="Noto Sans" w:cs="Noto Sans"/>
          <w:sz w:val="20"/>
          <w:szCs w:val="20"/>
        </w:rPr>
        <w:t xml:space="preserve">personas </w:t>
      </w:r>
      <w:r w:rsidRPr="003E282E">
        <w:rPr>
          <w:rFonts w:ascii="Noto Sans" w:hAnsi="Noto Sans" w:cs="Noto Sans"/>
          <w:sz w:val="20"/>
          <w:szCs w:val="20"/>
        </w:rPr>
        <w:t>adult</w:t>
      </w:r>
      <w:r w:rsidR="00F646CA">
        <w:rPr>
          <w:rFonts w:ascii="Noto Sans" w:hAnsi="Noto Sans" w:cs="Noto Sans"/>
          <w:sz w:val="20"/>
          <w:szCs w:val="20"/>
        </w:rPr>
        <w:t>a</w:t>
      </w:r>
      <w:r w:rsidRPr="003E282E">
        <w:rPr>
          <w:rFonts w:ascii="Noto Sans" w:hAnsi="Noto Sans" w:cs="Noto Sans"/>
          <w:sz w:val="20"/>
          <w:szCs w:val="20"/>
        </w:rPr>
        <w:t>s</w:t>
      </w:r>
      <w:r w:rsidR="00F646CA">
        <w:rPr>
          <w:rFonts w:ascii="Noto Sans" w:hAnsi="Noto Sans" w:cs="Noto Sans"/>
          <w:sz w:val="20"/>
          <w:szCs w:val="20"/>
        </w:rPr>
        <w:t>)</w:t>
      </w:r>
      <w:r w:rsidRPr="003E282E">
        <w:rPr>
          <w:rFonts w:ascii="Noto Sans" w:hAnsi="Noto Sans" w:cs="Noto Sans"/>
          <w:sz w:val="20"/>
          <w:szCs w:val="20"/>
        </w:rPr>
        <w:t xml:space="preserve">, </w:t>
      </w:r>
      <w:r w:rsidR="00F646CA">
        <w:rPr>
          <w:rFonts w:ascii="Noto Sans" w:hAnsi="Noto Sans" w:cs="Noto Sans"/>
          <w:sz w:val="20"/>
          <w:szCs w:val="20"/>
        </w:rPr>
        <w:t xml:space="preserve">quienes se atienden </w:t>
      </w:r>
      <w:r w:rsidRPr="003E282E">
        <w:rPr>
          <w:rFonts w:ascii="Noto Sans" w:hAnsi="Noto Sans" w:cs="Noto Sans"/>
          <w:sz w:val="20"/>
          <w:szCs w:val="20"/>
        </w:rPr>
        <w:t xml:space="preserve">en </w:t>
      </w:r>
      <w:r>
        <w:rPr>
          <w:rFonts w:ascii="Noto Sans" w:hAnsi="Noto Sans" w:cs="Noto Sans"/>
          <w:sz w:val="20"/>
          <w:szCs w:val="20"/>
        </w:rPr>
        <w:t>8</w:t>
      </w:r>
      <w:r w:rsidR="00736B30">
        <w:rPr>
          <w:rFonts w:ascii="Noto Sans" w:hAnsi="Noto Sans" w:cs="Noto Sans"/>
          <w:sz w:val="20"/>
          <w:szCs w:val="20"/>
        </w:rPr>
        <w:t>2</w:t>
      </w:r>
      <w:r w:rsidRPr="003E282E">
        <w:rPr>
          <w:rFonts w:ascii="Noto Sans" w:hAnsi="Noto Sans" w:cs="Noto Sans"/>
          <w:sz w:val="20"/>
          <w:szCs w:val="20"/>
        </w:rPr>
        <w:t xml:space="preserve"> hospitales, </w:t>
      </w:r>
      <w:r>
        <w:rPr>
          <w:rFonts w:ascii="Noto Sans" w:hAnsi="Noto Sans" w:cs="Noto Sans"/>
          <w:sz w:val="20"/>
          <w:szCs w:val="20"/>
        </w:rPr>
        <w:t xml:space="preserve">16 UMAE </w:t>
      </w:r>
      <w:r w:rsidRPr="003E282E">
        <w:rPr>
          <w:rFonts w:ascii="Noto Sans" w:hAnsi="Noto Sans" w:cs="Noto Sans"/>
          <w:sz w:val="20"/>
          <w:szCs w:val="20"/>
        </w:rPr>
        <w:t>y 6</w:t>
      </w:r>
      <w:r w:rsidR="00736B30">
        <w:rPr>
          <w:rFonts w:ascii="Noto Sans" w:hAnsi="Noto Sans" w:cs="Noto Sans"/>
          <w:sz w:val="20"/>
          <w:szCs w:val="20"/>
        </w:rPr>
        <w:t>6</w:t>
      </w:r>
      <w:r w:rsidRPr="003E282E">
        <w:rPr>
          <w:rFonts w:ascii="Noto Sans" w:hAnsi="Noto Sans" w:cs="Noto Sans"/>
          <w:sz w:val="20"/>
          <w:szCs w:val="20"/>
        </w:rPr>
        <w:t xml:space="preserve"> de Segundo Nivel. </w:t>
      </w:r>
    </w:p>
    <w:p w14:paraId="659D9984" w14:textId="77777777" w:rsidR="003050B8" w:rsidRPr="007F6820" w:rsidRDefault="003050B8" w:rsidP="007F6820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38D56F0E" w14:textId="2A1C8551" w:rsidR="007F6820" w:rsidRPr="007F6820" w:rsidRDefault="007F6820" w:rsidP="007F6820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7F6820">
        <w:rPr>
          <w:rFonts w:ascii="Noto Sans" w:hAnsi="Noto Sans" w:cs="Noto Sans"/>
          <w:sz w:val="20"/>
          <w:szCs w:val="20"/>
        </w:rPr>
        <w:t>Asistieron por parte del IMSS, titulares de coordinaciones y titulares de unidad, directoras y directores de hospitales, titulares de las Jefaturas de Servicios de Prestaciones Médicas y autoridades de las Oficinas de Representación de Aguascalientes, Baja California, Chihuahua, Nuevo León, Puebla, Querétaro, Quintana Roo, San Luis Potosí, Sinaloa, Tamaulipas, Veracruz, Yucatán y Zacatecas.</w:t>
      </w:r>
    </w:p>
    <w:p w14:paraId="245A5819" w14:textId="5F06A0CF" w:rsidR="007F6820" w:rsidRPr="007F6820" w:rsidRDefault="007F6820" w:rsidP="007F6820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55E0D817" w14:textId="113436E7" w:rsidR="007F6820" w:rsidRDefault="007F6820" w:rsidP="009F7857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7F6820">
        <w:rPr>
          <w:rFonts w:ascii="Noto Sans" w:hAnsi="Noto Sans" w:cs="Noto Sans"/>
          <w:sz w:val="20"/>
          <w:szCs w:val="20"/>
        </w:rPr>
        <w:t xml:space="preserve">Y en representación de las madres y los padres de pacientes pediátricos oncológicos, estuvieron las señoras Dulce, Mary, Jessica, </w:t>
      </w:r>
      <w:r w:rsidR="00F646CA">
        <w:rPr>
          <w:rFonts w:ascii="Noto Sans" w:hAnsi="Noto Sans" w:cs="Noto Sans"/>
          <w:sz w:val="20"/>
          <w:szCs w:val="20"/>
        </w:rPr>
        <w:t xml:space="preserve">Alejandra, </w:t>
      </w:r>
      <w:r w:rsidR="005F0B20">
        <w:rPr>
          <w:rFonts w:ascii="Noto Sans" w:hAnsi="Noto Sans" w:cs="Noto Sans"/>
          <w:sz w:val="20"/>
          <w:szCs w:val="20"/>
        </w:rPr>
        <w:t>Beatriz,</w:t>
      </w:r>
      <w:r w:rsidR="00F646CA">
        <w:rPr>
          <w:rFonts w:ascii="Noto Sans" w:hAnsi="Noto Sans" w:cs="Noto Sans"/>
          <w:sz w:val="20"/>
          <w:szCs w:val="20"/>
        </w:rPr>
        <w:t xml:space="preserve"> </w:t>
      </w:r>
      <w:r w:rsidR="005F0B20">
        <w:rPr>
          <w:rFonts w:ascii="Noto Sans" w:hAnsi="Noto Sans" w:cs="Noto Sans"/>
          <w:sz w:val="20"/>
          <w:szCs w:val="20"/>
        </w:rPr>
        <w:t xml:space="preserve">Daniela, </w:t>
      </w:r>
      <w:r w:rsidR="009F7857" w:rsidRPr="005F0B20">
        <w:rPr>
          <w:rFonts w:ascii="Noto Sans" w:hAnsi="Noto Sans" w:cs="Noto Sans"/>
          <w:sz w:val="20"/>
          <w:szCs w:val="20"/>
        </w:rPr>
        <w:t>Esperanza,</w:t>
      </w:r>
      <w:r w:rsidR="009F7857" w:rsidRPr="0057430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F646CA" w:rsidRPr="00F646CA">
        <w:rPr>
          <w:rFonts w:ascii="Noto Sans" w:hAnsi="Noto Sans" w:cs="Noto Sans"/>
          <w:sz w:val="20"/>
          <w:szCs w:val="20"/>
        </w:rPr>
        <w:t>Leticia,</w:t>
      </w:r>
      <w:r w:rsidR="00F646C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F646CA" w:rsidRPr="00F646CA">
        <w:rPr>
          <w:rFonts w:ascii="Noto Sans" w:hAnsi="Noto Sans" w:cs="Noto Sans"/>
          <w:sz w:val="20"/>
          <w:szCs w:val="20"/>
        </w:rPr>
        <w:t xml:space="preserve">Leydi, </w:t>
      </w:r>
      <w:r w:rsidR="00F646CA">
        <w:rPr>
          <w:rFonts w:ascii="Noto Sans" w:hAnsi="Noto Sans" w:cs="Noto Sans"/>
          <w:sz w:val="20"/>
          <w:szCs w:val="20"/>
        </w:rPr>
        <w:t>Liliana</w:t>
      </w:r>
      <w:r w:rsidR="005F0B20" w:rsidRPr="005F0B20">
        <w:rPr>
          <w:rFonts w:ascii="Noto Sans" w:hAnsi="Noto Sans" w:cs="Noto Sans"/>
          <w:sz w:val="20"/>
          <w:szCs w:val="20"/>
        </w:rPr>
        <w:t>,</w:t>
      </w:r>
      <w:r w:rsidR="009F7857" w:rsidRPr="0057430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F7857" w:rsidRPr="005F0B20">
        <w:rPr>
          <w:rFonts w:ascii="Noto Sans" w:hAnsi="Noto Sans" w:cs="Noto Sans"/>
          <w:sz w:val="20"/>
          <w:szCs w:val="20"/>
        </w:rPr>
        <w:t>María</w:t>
      </w:r>
      <w:r w:rsidR="005F0B20">
        <w:rPr>
          <w:rFonts w:ascii="Noto Sans" w:hAnsi="Noto Sans" w:cs="Noto Sans"/>
          <w:sz w:val="20"/>
          <w:szCs w:val="20"/>
        </w:rPr>
        <w:t xml:space="preserve">, Maribel, Martha, </w:t>
      </w:r>
      <w:r w:rsidR="009F7857" w:rsidRPr="005F0B20">
        <w:rPr>
          <w:rFonts w:ascii="Noto Sans" w:hAnsi="Noto Sans" w:cs="Noto Sans"/>
          <w:sz w:val="20"/>
          <w:szCs w:val="20"/>
        </w:rPr>
        <w:t>Raquel</w:t>
      </w:r>
      <w:r w:rsidR="00F646CA">
        <w:rPr>
          <w:rFonts w:ascii="Noto Sans" w:hAnsi="Noto Sans" w:cs="Noto Sans"/>
          <w:sz w:val="20"/>
          <w:szCs w:val="20"/>
        </w:rPr>
        <w:t xml:space="preserve"> y</w:t>
      </w:r>
      <w:r w:rsidR="009F7857" w:rsidRPr="0057430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F7857" w:rsidRPr="005F0B20">
        <w:rPr>
          <w:rFonts w:ascii="Noto Sans" w:hAnsi="Noto Sans" w:cs="Noto Sans"/>
          <w:sz w:val="20"/>
          <w:szCs w:val="20"/>
        </w:rPr>
        <w:t>Rocío</w:t>
      </w:r>
      <w:r w:rsidRPr="005F0B20">
        <w:rPr>
          <w:rFonts w:ascii="Noto Sans" w:hAnsi="Noto Sans" w:cs="Noto Sans"/>
          <w:sz w:val="20"/>
          <w:szCs w:val="20"/>
        </w:rPr>
        <w:t>;</w:t>
      </w:r>
      <w:r w:rsidRPr="0057430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5F0B20">
        <w:rPr>
          <w:rFonts w:ascii="Noto Sans" w:hAnsi="Noto Sans" w:cs="Noto Sans"/>
          <w:sz w:val="20"/>
          <w:szCs w:val="20"/>
        </w:rPr>
        <w:t xml:space="preserve">así como </w:t>
      </w:r>
      <w:r w:rsidR="009F7857" w:rsidRPr="005F0B20">
        <w:rPr>
          <w:rFonts w:ascii="Noto Sans" w:hAnsi="Noto Sans" w:cs="Noto Sans"/>
          <w:sz w:val="20"/>
          <w:szCs w:val="20"/>
        </w:rPr>
        <w:t xml:space="preserve">los </w:t>
      </w:r>
      <w:r w:rsidRPr="005F0B20">
        <w:rPr>
          <w:rFonts w:ascii="Noto Sans" w:hAnsi="Noto Sans" w:cs="Noto Sans"/>
          <w:sz w:val="20"/>
          <w:szCs w:val="20"/>
        </w:rPr>
        <w:t>señor</w:t>
      </w:r>
      <w:r w:rsidR="009F7857" w:rsidRPr="005F0B20">
        <w:rPr>
          <w:rFonts w:ascii="Noto Sans" w:hAnsi="Noto Sans" w:cs="Noto Sans"/>
          <w:sz w:val="20"/>
          <w:szCs w:val="20"/>
        </w:rPr>
        <w:t>es</w:t>
      </w:r>
      <w:r w:rsidRPr="005F0B20">
        <w:rPr>
          <w:rFonts w:ascii="Noto Sans" w:hAnsi="Noto Sans" w:cs="Noto Sans"/>
          <w:sz w:val="20"/>
          <w:szCs w:val="20"/>
        </w:rPr>
        <w:t xml:space="preserve"> </w:t>
      </w:r>
      <w:r w:rsidR="00F646CA">
        <w:rPr>
          <w:rFonts w:ascii="Noto Sans" w:hAnsi="Noto Sans" w:cs="Noto Sans"/>
          <w:sz w:val="20"/>
          <w:szCs w:val="20"/>
        </w:rPr>
        <w:t xml:space="preserve">Juan y </w:t>
      </w:r>
      <w:r w:rsidR="005F0B20" w:rsidRPr="005F0B20">
        <w:rPr>
          <w:rFonts w:ascii="Noto Sans" w:hAnsi="Noto Sans" w:cs="Noto Sans"/>
          <w:sz w:val="20"/>
          <w:szCs w:val="20"/>
        </w:rPr>
        <w:t>Luis</w:t>
      </w:r>
      <w:r w:rsidR="005F0B20">
        <w:rPr>
          <w:rFonts w:ascii="Noto Sans" w:hAnsi="Noto Sans" w:cs="Noto Sans"/>
          <w:sz w:val="20"/>
          <w:szCs w:val="20"/>
        </w:rPr>
        <w:t xml:space="preserve">. </w:t>
      </w:r>
    </w:p>
    <w:p w14:paraId="2D060328" w14:textId="77777777" w:rsidR="00D228AF" w:rsidRDefault="00D228AF" w:rsidP="009F7857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6AA025E0" w14:textId="6BE1FB4C" w:rsidR="00117614" w:rsidRDefault="00DC1EEB" w:rsidP="008738D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D726BD">
        <w:rPr>
          <w:rFonts w:ascii="Noto Sans" w:hAnsi="Noto Sans" w:cs="Noto Sans"/>
          <w:b/>
          <w:bCs/>
          <w:sz w:val="22"/>
          <w:szCs w:val="22"/>
        </w:rPr>
        <w:t>---o0o---</w:t>
      </w:r>
    </w:p>
    <w:sectPr w:rsidR="00117614" w:rsidSect="00E24666">
      <w:headerReference w:type="default" r:id="rId8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FF0C" w14:textId="77777777" w:rsidR="004E4CB8" w:rsidRDefault="004E4CB8" w:rsidP="00A73D65">
      <w:r>
        <w:separator/>
      </w:r>
    </w:p>
  </w:endnote>
  <w:endnote w:type="continuationSeparator" w:id="0">
    <w:p w14:paraId="5D3C4D5D" w14:textId="77777777" w:rsidR="004E4CB8" w:rsidRDefault="004E4CB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140F" w14:textId="77777777" w:rsidR="004E4CB8" w:rsidRDefault="004E4CB8" w:rsidP="00A73D65">
      <w:r>
        <w:separator/>
      </w:r>
    </w:p>
  </w:footnote>
  <w:footnote w:type="continuationSeparator" w:id="0">
    <w:p w14:paraId="2B1062E3" w14:textId="77777777" w:rsidR="004E4CB8" w:rsidRDefault="004E4CB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210158977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9FB0286"/>
    <w:multiLevelType w:val="hybridMultilevel"/>
    <w:tmpl w:val="FBF0A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156F1"/>
    <w:multiLevelType w:val="multilevel"/>
    <w:tmpl w:val="66C8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D527B"/>
    <w:multiLevelType w:val="hybridMultilevel"/>
    <w:tmpl w:val="FC18DC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79840">
    <w:abstractNumId w:val="0"/>
  </w:num>
  <w:num w:numId="2" w16cid:durableId="1529293443">
    <w:abstractNumId w:val="3"/>
  </w:num>
  <w:num w:numId="3" w16cid:durableId="528645679">
    <w:abstractNumId w:val="1"/>
  </w:num>
  <w:num w:numId="4" w16cid:durableId="271327719">
    <w:abstractNumId w:val="5"/>
  </w:num>
  <w:num w:numId="5" w16cid:durableId="1022631928">
    <w:abstractNumId w:val="2"/>
  </w:num>
  <w:num w:numId="6" w16cid:durableId="1046639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449D"/>
    <w:rsid w:val="000200AC"/>
    <w:rsid w:val="00023D1F"/>
    <w:rsid w:val="00030C62"/>
    <w:rsid w:val="00032598"/>
    <w:rsid w:val="000341B7"/>
    <w:rsid w:val="000366CF"/>
    <w:rsid w:val="000449EB"/>
    <w:rsid w:val="00046C6A"/>
    <w:rsid w:val="00051846"/>
    <w:rsid w:val="00054FDD"/>
    <w:rsid w:val="000707A0"/>
    <w:rsid w:val="00074B93"/>
    <w:rsid w:val="00075388"/>
    <w:rsid w:val="00080E5A"/>
    <w:rsid w:val="0008336F"/>
    <w:rsid w:val="000855D9"/>
    <w:rsid w:val="000902BB"/>
    <w:rsid w:val="000969C7"/>
    <w:rsid w:val="000A09C1"/>
    <w:rsid w:val="000A0E53"/>
    <w:rsid w:val="000A141E"/>
    <w:rsid w:val="000A408C"/>
    <w:rsid w:val="000B0385"/>
    <w:rsid w:val="000B142C"/>
    <w:rsid w:val="000C0D18"/>
    <w:rsid w:val="000C16DF"/>
    <w:rsid w:val="000D16D6"/>
    <w:rsid w:val="000D799D"/>
    <w:rsid w:val="000E4415"/>
    <w:rsid w:val="000E5D1C"/>
    <w:rsid w:val="0010310B"/>
    <w:rsid w:val="00107599"/>
    <w:rsid w:val="00117614"/>
    <w:rsid w:val="0012394C"/>
    <w:rsid w:val="001253F5"/>
    <w:rsid w:val="001269C6"/>
    <w:rsid w:val="00130564"/>
    <w:rsid w:val="00132439"/>
    <w:rsid w:val="00134497"/>
    <w:rsid w:val="00136314"/>
    <w:rsid w:val="001441A8"/>
    <w:rsid w:val="00146ADC"/>
    <w:rsid w:val="001526CC"/>
    <w:rsid w:val="00156A3E"/>
    <w:rsid w:val="00161740"/>
    <w:rsid w:val="0016179D"/>
    <w:rsid w:val="0017309B"/>
    <w:rsid w:val="00173BE5"/>
    <w:rsid w:val="00174BAA"/>
    <w:rsid w:val="00180A38"/>
    <w:rsid w:val="00180DE2"/>
    <w:rsid w:val="00182C62"/>
    <w:rsid w:val="00184325"/>
    <w:rsid w:val="001B3C5A"/>
    <w:rsid w:val="001C4655"/>
    <w:rsid w:val="001D2F52"/>
    <w:rsid w:val="001F087B"/>
    <w:rsid w:val="001F6AC7"/>
    <w:rsid w:val="00202D55"/>
    <w:rsid w:val="00203758"/>
    <w:rsid w:val="00203C5D"/>
    <w:rsid w:val="00204183"/>
    <w:rsid w:val="00204E58"/>
    <w:rsid w:val="002065C3"/>
    <w:rsid w:val="00210CBA"/>
    <w:rsid w:val="00212E4D"/>
    <w:rsid w:val="0021642B"/>
    <w:rsid w:val="00236D36"/>
    <w:rsid w:val="0024658B"/>
    <w:rsid w:val="00247ACA"/>
    <w:rsid w:val="00256B1D"/>
    <w:rsid w:val="002724BC"/>
    <w:rsid w:val="00284410"/>
    <w:rsid w:val="00286332"/>
    <w:rsid w:val="00294A6F"/>
    <w:rsid w:val="0029542D"/>
    <w:rsid w:val="00297155"/>
    <w:rsid w:val="002A3814"/>
    <w:rsid w:val="002A6D82"/>
    <w:rsid w:val="002B3EA6"/>
    <w:rsid w:val="002C200E"/>
    <w:rsid w:val="002C4304"/>
    <w:rsid w:val="002C6752"/>
    <w:rsid w:val="002C6D2C"/>
    <w:rsid w:val="002E2142"/>
    <w:rsid w:val="002E59F8"/>
    <w:rsid w:val="002F50E7"/>
    <w:rsid w:val="002F7564"/>
    <w:rsid w:val="00300E57"/>
    <w:rsid w:val="0030476A"/>
    <w:rsid w:val="003050B8"/>
    <w:rsid w:val="0031556C"/>
    <w:rsid w:val="00325378"/>
    <w:rsid w:val="00330DC8"/>
    <w:rsid w:val="003344C5"/>
    <w:rsid w:val="00334CB4"/>
    <w:rsid w:val="003350BD"/>
    <w:rsid w:val="00335627"/>
    <w:rsid w:val="0033566A"/>
    <w:rsid w:val="0034181C"/>
    <w:rsid w:val="00350D01"/>
    <w:rsid w:val="00352085"/>
    <w:rsid w:val="00354097"/>
    <w:rsid w:val="003556A8"/>
    <w:rsid w:val="00361D67"/>
    <w:rsid w:val="00363222"/>
    <w:rsid w:val="00363BCC"/>
    <w:rsid w:val="0036653A"/>
    <w:rsid w:val="00366B42"/>
    <w:rsid w:val="00367400"/>
    <w:rsid w:val="00370465"/>
    <w:rsid w:val="00375549"/>
    <w:rsid w:val="00377A0D"/>
    <w:rsid w:val="00385ED5"/>
    <w:rsid w:val="003A034A"/>
    <w:rsid w:val="003A3CC2"/>
    <w:rsid w:val="003C0ECA"/>
    <w:rsid w:val="003C2B58"/>
    <w:rsid w:val="003D416E"/>
    <w:rsid w:val="003D7A3C"/>
    <w:rsid w:val="003E1335"/>
    <w:rsid w:val="003E399C"/>
    <w:rsid w:val="003F234C"/>
    <w:rsid w:val="00402BE4"/>
    <w:rsid w:val="004034C5"/>
    <w:rsid w:val="00445E80"/>
    <w:rsid w:val="00452C8A"/>
    <w:rsid w:val="00456F94"/>
    <w:rsid w:val="004576C9"/>
    <w:rsid w:val="00473A4F"/>
    <w:rsid w:val="0047658A"/>
    <w:rsid w:val="00476F46"/>
    <w:rsid w:val="00477F45"/>
    <w:rsid w:val="00483768"/>
    <w:rsid w:val="004A2714"/>
    <w:rsid w:val="004A4C4E"/>
    <w:rsid w:val="004A6A20"/>
    <w:rsid w:val="004C1E52"/>
    <w:rsid w:val="004C45CC"/>
    <w:rsid w:val="004C79E3"/>
    <w:rsid w:val="004D1329"/>
    <w:rsid w:val="004D146C"/>
    <w:rsid w:val="004E0D31"/>
    <w:rsid w:val="004E4CB8"/>
    <w:rsid w:val="004F47B7"/>
    <w:rsid w:val="004F4E76"/>
    <w:rsid w:val="00500D2C"/>
    <w:rsid w:val="00510358"/>
    <w:rsid w:val="00510F78"/>
    <w:rsid w:val="0051127A"/>
    <w:rsid w:val="0051129D"/>
    <w:rsid w:val="00545BCF"/>
    <w:rsid w:val="00546F35"/>
    <w:rsid w:val="005507CE"/>
    <w:rsid w:val="0055204E"/>
    <w:rsid w:val="00554CEB"/>
    <w:rsid w:val="00554F1C"/>
    <w:rsid w:val="005635E0"/>
    <w:rsid w:val="00564FA1"/>
    <w:rsid w:val="00567722"/>
    <w:rsid w:val="005720C5"/>
    <w:rsid w:val="00574308"/>
    <w:rsid w:val="00576163"/>
    <w:rsid w:val="00583669"/>
    <w:rsid w:val="005907D9"/>
    <w:rsid w:val="005925BF"/>
    <w:rsid w:val="00592AF4"/>
    <w:rsid w:val="005933D8"/>
    <w:rsid w:val="005A23E7"/>
    <w:rsid w:val="005A78A9"/>
    <w:rsid w:val="005B05F3"/>
    <w:rsid w:val="005B21ED"/>
    <w:rsid w:val="005B471B"/>
    <w:rsid w:val="005B747A"/>
    <w:rsid w:val="005C1A7C"/>
    <w:rsid w:val="005C41D9"/>
    <w:rsid w:val="005C7CAD"/>
    <w:rsid w:val="005E32A3"/>
    <w:rsid w:val="005E43CF"/>
    <w:rsid w:val="005E7125"/>
    <w:rsid w:val="005F0B20"/>
    <w:rsid w:val="005F2354"/>
    <w:rsid w:val="005F303E"/>
    <w:rsid w:val="005F3E0C"/>
    <w:rsid w:val="005F4C1E"/>
    <w:rsid w:val="0062277E"/>
    <w:rsid w:val="00624614"/>
    <w:rsid w:val="00626EE3"/>
    <w:rsid w:val="00631824"/>
    <w:rsid w:val="006322C1"/>
    <w:rsid w:val="006328A6"/>
    <w:rsid w:val="00636DF8"/>
    <w:rsid w:val="006418B8"/>
    <w:rsid w:val="00643446"/>
    <w:rsid w:val="00657801"/>
    <w:rsid w:val="0067368D"/>
    <w:rsid w:val="00685483"/>
    <w:rsid w:val="00685538"/>
    <w:rsid w:val="00697684"/>
    <w:rsid w:val="006A2361"/>
    <w:rsid w:val="006A3D09"/>
    <w:rsid w:val="006A54C5"/>
    <w:rsid w:val="006B0FA1"/>
    <w:rsid w:val="006C0425"/>
    <w:rsid w:val="006C3785"/>
    <w:rsid w:val="006C3B4E"/>
    <w:rsid w:val="006D6200"/>
    <w:rsid w:val="006D68F8"/>
    <w:rsid w:val="006E3E8B"/>
    <w:rsid w:val="006E5AF1"/>
    <w:rsid w:val="006E7A81"/>
    <w:rsid w:val="006F20A6"/>
    <w:rsid w:val="006F5F4C"/>
    <w:rsid w:val="007009FE"/>
    <w:rsid w:val="00702305"/>
    <w:rsid w:val="00705F96"/>
    <w:rsid w:val="00706477"/>
    <w:rsid w:val="00710B1F"/>
    <w:rsid w:val="00716892"/>
    <w:rsid w:val="00725C72"/>
    <w:rsid w:val="00730D78"/>
    <w:rsid w:val="00730EDC"/>
    <w:rsid w:val="00736B30"/>
    <w:rsid w:val="007421E3"/>
    <w:rsid w:val="007424CF"/>
    <w:rsid w:val="00742861"/>
    <w:rsid w:val="007448F7"/>
    <w:rsid w:val="007504BE"/>
    <w:rsid w:val="007642AA"/>
    <w:rsid w:val="00764D8D"/>
    <w:rsid w:val="007670E9"/>
    <w:rsid w:val="00771152"/>
    <w:rsid w:val="00776DA8"/>
    <w:rsid w:val="0078195E"/>
    <w:rsid w:val="00785CFF"/>
    <w:rsid w:val="00786C47"/>
    <w:rsid w:val="0079017A"/>
    <w:rsid w:val="007915CB"/>
    <w:rsid w:val="00791B6B"/>
    <w:rsid w:val="007924D0"/>
    <w:rsid w:val="00796F35"/>
    <w:rsid w:val="007A1DF9"/>
    <w:rsid w:val="007B363B"/>
    <w:rsid w:val="007B74AD"/>
    <w:rsid w:val="007B7EF6"/>
    <w:rsid w:val="007C312B"/>
    <w:rsid w:val="007C638F"/>
    <w:rsid w:val="007C73B7"/>
    <w:rsid w:val="007D0708"/>
    <w:rsid w:val="007D6A6B"/>
    <w:rsid w:val="007D77D1"/>
    <w:rsid w:val="007E2E37"/>
    <w:rsid w:val="007E4FBD"/>
    <w:rsid w:val="007E5888"/>
    <w:rsid w:val="007E6B25"/>
    <w:rsid w:val="007F1DB3"/>
    <w:rsid w:val="007F5E00"/>
    <w:rsid w:val="007F6820"/>
    <w:rsid w:val="00800C1B"/>
    <w:rsid w:val="00802A6B"/>
    <w:rsid w:val="008059AA"/>
    <w:rsid w:val="00811710"/>
    <w:rsid w:val="0081328D"/>
    <w:rsid w:val="00813CC8"/>
    <w:rsid w:val="008221DD"/>
    <w:rsid w:val="008229D7"/>
    <w:rsid w:val="00831EE7"/>
    <w:rsid w:val="00834146"/>
    <w:rsid w:val="00840B75"/>
    <w:rsid w:val="00843B7F"/>
    <w:rsid w:val="0084555F"/>
    <w:rsid w:val="00861A7A"/>
    <w:rsid w:val="00861D1B"/>
    <w:rsid w:val="00862F13"/>
    <w:rsid w:val="008738D3"/>
    <w:rsid w:val="008744E3"/>
    <w:rsid w:val="00893E70"/>
    <w:rsid w:val="008A579A"/>
    <w:rsid w:val="008A5EFA"/>
    <w:rsid w:val="008B71BD"/>
    <w:rsid w:val="008C71D6"/>
    <w:rsid w:val="008C7CD9"/>
    <w:rsid w:val="008D3581"/>
    <w:rsid w:val="008E3B95"/>
    <w:rsid w:val="008E52ED"/>
    <w:rsid w:val="008E631D"/>
    <w:rsid w:val="0090412A"/>
    <w:rsid w:val="009066A7"/>
    <w:rsid w:val="009068C0"/>
    <w:rsid w:val="00907F1C"/>
    <w:rsid w:val="0091244A"/>
    <w:rsid w:val="009204A5"/>
    <w:rsid w:val="00920667"/>
    <w:rsid w:val="00930476"/>
    <w:rsid w:val="0093211B"/>
    <w:rsid w:val="00932C27"/>
    <w:rsid w:val="009360B0"/>
    <w:rsid w:val="00937C98"/>
    <w:rsid w:val="00940A99"/>
    <w:rsid w:val="00942415"/>
    <w:rsid w:val="00942628"/>
    <w:rsid w:val="009448FF"/>
    <w:rsid w:val="009471B1"/>
    <w:rsid w:val="00953EC0"/>
    <w:rsid w:val="00955B30"/>
    <w:rsid w:val="0096258A"/>
    <w:rsid w:val="009736FA"/>
    <w:rsid w:val="00976E70"/>
    <w:rsid w:val="0098331D"/>
    <w:rsid w:val="009859CF"/>
    <w:rsid w:val="00987387"/>
    <w:rsid w:val="0099552B"/>
    <w:rsid w:val="009A3095"/>
    <w:rsid w:val="009A7BC4"/>
    <w:rsid w:val="009B2A6F"/>
    <w:rsid w:val="009B48C9"/>
    <w:rsid w:val="009C12D6"/>
    <w:rsid w:val="009C2A40"/>
    <w:rsid w:val="009D02AF"/>
    <w:rsid w:val="009D6D01"/>
    <w:rsid w:val="009E0C4E"/>
    <w:rsid w:val="009E564C"/>
    <w:rsid w:val="009F2BA1"/>
    <w:rsid w:val="009F7857"/>
    <w:rsid w:val="00A00AD3"/>
    <w:rsid w:val="00A07674"/>
    <w:rsid w:val="00A13414"/>
    <w:rsid w:val="00A20AD8"/>
    <w:rsid w:val="00A26D80"/>
    <w:rsid w:val="00A301D7"/>
    <w:rsid w:val="00A326C5"/>
    <w:rsid w:val="00A353C0"/>
    <w:rsid w:val="00A37D4C"/>
    <w:rsid w:val="00A4290F"/>
    <w:rsid w:val="00A4502B"/>
    <w:rsid w:val="00A53305"/>
    <w:rsid w:val="00A64699"/>
    <w:rsid w:val="00A7141D"/>
    <w:rsid w:val="00A73D65"/>
    <w:rsid w:val="00A756CD"/>
    <w:rsid w:val="00A771AC"/>
    <w:rsid w:val="00A83C7C"/>
    <w:rsid w:val="00A90432"/>
    <w:rsid w:val="00A911E5"/>
    <w:rsid w:val="00A9581D"/>
    <w:rsid w:val="00AA0B46"/>
    <w:rsid w:val="00AA3376"/>
    <w:rsid w:val="00AA3A82"/>
    <w:rsid w:val="00AA7F88"/>
    <w:rsid w:val="00AB3EDD"/>
    <w:rsid w:val="00AB562F"/>
    <w:rsid w:val="00AB5E4F"/>
    <w:rsid w:val="00AE4BF1"/>
    <w:rsid w:val="00AE5D66"/>
    <w:rsid w:val="00AE6E31"/>
    <w:rsid w:val="00B047E6"/>
    <w:rsid w:val="00B057C9"/>
    <w:rsid w:val="00B05AAB"/>
    <w:rsid w:val="00B17147"/>
    <w:rsid w:val="00B23FCE"/>
    <w:rsid w:val="00B26244"/>
    <w:rsid w:val="00B314D0"/>
    <w:rsid w:val="00B3608B"/>
    <w:rsid w:val="00B411F1"/>
    <w:rsid w:val="00B4147B"/>
    <w:rsid w:val="00B43F04"/>
    <w:rsid w:val="00B4466F"/>
    <w:rsid w:val="00B54356"/>
    <w:rsid w:val="00B56890"/>
    <w:rsid w:val="00B57A7E"/>
    <w:rsid w:val="00B57C70"/>
    <w:rsid w:val="00B62278"/>
    <w:rsid w:val="00B639F3"/>
    <w:rsid w:val="00B651A0"/>
    <w:rsid w:val="00B72D65"/>
    <w:rsid w:val="00B76C92"/>
    <w:rsid w:val="00B85044"/>
    <w:rsid w:val="00B87C85"/>
    <w:rsid w:val="00B94930"/>
    <w:rsid w:val="00BA5332"/>
    <w:rsid w:val="00BA6EE0"/>
    <w:rsid w:val="00BB21A6"/>
    <w:rsid w:val="00BB2DFF"/>
    <w:rsid w:val="00BB7654"/>
    <w:rsid w:val="00BC0CC6"/>
    <w:rsid w:val="00BC43BD"/>
    <w:rsid w:val="00BD5A92"/>
    <w:rsid w:val="00BE0B88"/>
    <w:rsid w:val="00BE15FE"/>
    <w:rsid w:val="00BE4AC6"/>
    <w:rsid w:val="00BF2888"/>
    <w:rsid w:val="00BF29F6"/>
    <w:rsid w:val="00BF5A8B"/>
    <w:rsid w:val="00C00698"/>
    <w:rsid w:val="00C02E98"/>
    <w:rsid w:val="00C13382"/>
    <w:rsid w:val="00C23B9E"/>
    <w:rsid w:val="00C279A3"/>
    <w:rsid w:val="00C30849"/>
    <w:rsid w:val="00C33729"/>
    <w:rsid w:val="00C37CA9"/>
    <w:rsid w:val="00C4535E"/>
    <w:rsid w:val="00C465FE"/>
    <w:rsid w:val="00C52980"/>
    <w:rsid w:val="00C56991"/>
    <w:rsid w:val="00C63D43"/>
    <w:rsid w:val="00C64D5B"/>
    <w:rsid w:val="00C67047"/>
    <w:rsid w:val="00C74C4C"/>
    <w:rsid w:val="00C75A1D"/>
    <w:rsid w:val="00C90990"/>
    <w:rsid w:val="00C90CED"/>
    <w:rsid w:val="00CA1024"/>
    <w:rsid w:val="00CA497D"/>
    <w:rsid w:val="00CA5E06"/>
    <w:rsid w:val="00CB18C7"/>
    <w:rsid w:val="00CB3813"/>
    <w:rsid w:val="00CB3B18"/>
    <w:rsid w:val="00CB4E79"/>
    <w:rsid w:val="00CB7D4F"/>
    <w:rsid w:val="00CD310D"/>
    <w:rsid w:val="00CD56E5"/>
    <w:rsid w:val="00CE3E99"/>
    <w:rsid w:val="00CE5167"/>
    <w:rsid w:val="00CF3A63"/>
    <w:rsid w:val="00CF3B37"/>
    <w:rsid w:val="00CF556B"/>
    <w:rsid w:val="00D04035"/>
    <w:rsid w:val="00D113BD"/>
    <w:rsid w:val="00D1354D"/>
    <w:rsid w:val="00D169DC"/>
    <w:rsid w:val="00D1758B"/>
    <w:rsid w:val="00D17C3C"/>
    <w:rsid w:val="00D228AF"/>
    <w:rsid w:val="00D27754"/>
    <w:rsid w:val="00D3042D"/>
    <w:rsid w:val="00D3436C"/>
    <w:rsid w:val="00D370A9"/>
    <w:rsid w:val="00D42C25"/>
    <w:rsid w:val="00D51D5B"/>
    <w:rsid w:val="00D52C4B"/>
    <w:rsid w:val="00D54A12"/>
    <w:rsid w:val="00D62AA0"/>
    <w:rsid w:val="00D63063"/>
    <w:rsid w:val="00D66B6C"/>
    <w:rsid w:val="00D70187"/>
    <w:rsid w:val="00D726BD"/>
    <w:rsid w:val="00D84E05"/>
    <w:rsid w:val="00D9112C"/>
    <w:rsid w:val="00D952B1"/>
    <w:rsid w:val="00D95C69"/>
    <w:rsid w:val="00D95D6D"/>
    <w:rsid w:val="00D9697F"/>
    <w:rsid w:val="00D972A6"/>
    <w:rsid w:val="00DA037A"/>
    <w:rsid w:val="00DA1B19"/>
    <w:rsid w:val="00DA76DC"/>
    <w:rsid w:val="00DB29C6"/>
    <w:rsid w:val="00DB2C73"/>
    <w:rsid w:val="00DB4DE6"/>
    <w:rsid w:val="00DB53A4"/>
    <w:rsid w:val="00DC0F19"/>
    <w:rsid w:val="00DC1EEB"/>
    <w:rsid w:val="00DC5406"/>
    <w:rsid w:val="00DD6669"/>
    <w:rsid w:val="00DE4889"/>
    <w:rsid w:val="00DE72AB"/>
    <w:rsid w:val="00DE78DB"/>
    <w:rsid w:val="00DF75DA"/>
    <w:rsid w:val="00E024A9"/>
    <w:rsid w:val="00E06ED8"/>
    <w:rsid w:val="00E0752B"/>
    <w:rsid w:val="00E1044C"/>
    <w:rsid w:val="00E1265E"/>
    <w:rsid w:val="00E155A4"/>
    <w:rsid w:val="00E24666"/>
    <w:rsid w:val="00E3458D"/>
    <w:rsid w:val="00E3659D"/>
    <w:rsid w:val="00E3776C"/>
    <w:rsid w:val="00E40B05"/>
    <w:rsid w:val="00E5049E"/>
    <w:rsid w:val="00E53620"/>
    <w:rsid w:val="00E53B5E"/>
    <w:rsid w:val="00E56DB8"/>
    <w:rsid w:val="00E62992"/>
    <w:rsid w:val="00E67235"/>
    <w:rsid w:val="00E67869"/>
    <w:rsid w:val="00E70EA4"/>
    <w:rsid w:val="00E71C54"/>
    <w:rsid w:val="00E7668F"/>
    <w:rsid w:val="00E82F58"/>
    <w:rsid w:val="00E84541"/>
    <w:rsid w:val="00E850AB"/>
    <w:rsid w:val="00E93867"/>
    <w:rsid w:val="00EA00D9"/>
    <w:rsid w:val="00EA17AA"/>
    <w:rsid w:val="00EA79FD"/>
    <w:rsid w:val="00EB097D"/>
    <w:rsid w:val="00EB407F"/>
    <w:rsid w:val="00EB5A39"/>
    <w:rsid w:val="00EC05D1"/>
    <w:rsid w:val="00EC0A38"/>
    <w:rsid w:val="00EC3FD6"/>
    <w:rsid w:val="00EC524F"/>
    <w:rsid w:val="00ED2E59"/>
    <w:rsid w:val="00ED4A2B"/>
    <w:rsid w:val="00ED705D"/>
    <w:rsid w:val="00EE053F"/>
    <w:rsid w:val="00EE3914"/>
    <w:rsid w:val="00EE5B36"/>
    <w:rsid w:val="00EE6B41"/>
    <w:rsid w:val="00EE7CCD"/>
    <w:rsid w:val="00EF1AB3"/>
    <w:rsid w:val="00EF536D"/>
    <w:rsid w:val="00EF636B"/>
    <w:rsid w:val="00F007C0"/>
    <w:rsid w:val="00F072D8"/>
    <w:rsid w:val="00F1297D"/>
    <w:rsid w:val="00F16E5D"/>
    <w:rsid w:val="00F24915"/>
    <w:rsid w:val="00F33C47"/>
    <w:rsid w:val="00F3694A"/>
    <w:rsid w:val="00F37CC8"/>
    <w:rsid w:val="00F401F9"/>
    <w:rsid w:val="00F43292"/>
    <w:rsid w:val="00F43CD6"/>
    <w:rsid w:val="00F56505"/>
    <w:rsid w:val="00F646CA"/>
    <w:rsid w:val="00F735C9"/>
    <w:rsid w:val="00F745B2"/>
    <w:rsid w:val="00F74913"/>
    <w:rsid w:val="00F8543D"/>
    <w:rsid w:val="00F86F50"/>
    <w:rsid w:val="00F945F2"/>
    <w:rsid w:val="00F957E0"/>
    <w:rsid w:val="00FA1218"/>
    <w:rsid w:val="00FA5848"/>
    <w:rsid w:val="00FA7B44"/>
    <w:rsid w:val="00FC054B"/>
    <w:rsid w:val="00FC5A3D"/>
    <w:rsid w:val="00FD0F53"/>
    <w:rsid w:val="00FD3590"/>
    <w:rsid w:val="00FD538B"/>
    <w:rsid w:val="00FD6410"/>
    <w:rsid w:val="00FD68C2"/>
    <w:rsid w:val="00FD754F"/>
    <w:rsid w:val="00FD75E1"/>
    <w:rsid w:val="00FE2ADE"/>
    <w:rsid w:val="00FE3DF1"/>
    <w:rsid w:val="00FF06FA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86CC3B97-B584-478E-A7B0-B1A30820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A8"/>
    <w:rPr>
      <w:rFonts w:eastAsiaTheme="minorEastAsi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5E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DC1EE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B5E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7670E9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710F12-B9D7-46E5-8B77-51442861BF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2026-03-10T17:27:00Z</cp:lastPrinted>
  <dcterms:created xsi:type="dcterms:W3CDTF">2026-03-13T21:05:00Z</dcterms:created>
  <dcterms:modified xsi:type="dcterms:W3CDTF">2026-03-13T21:05:00Z</dcterms:modified>
</cp:coreProperties>
</file>