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A976" w14:textId="77777777" w:rsidR="00AC56F4" w:rsidRDefault="00AC56F4" w:rsidP="00AC56F4">
      <w:pPr>
        <w:jc w:val="both"/>
        <w:rPr>
          <w:rFonts w:ascii="Noto Sans" w:eastAsia="Noto Sans" w:hAnsi="Noto Sans" w:cs="Noto Sans"/>
          <w:sz w:val="19"/>
          <w:szCs w:val="19"/>
        </w:rPr>
      </w:pPr>
      <w:r>
        <w:rPr>
          <w:noProof/>
        </w:rPr>
        <mc:AlternateContent>
          <mc:Choice Requires="wps">
            <w:drawing>
              <wp:anchor distT="0" distB="0" distL="114300" distR="114300" simplePos="0" relativeHeight="251659264" behindDoc="0" locked="0" layoutInCell="1" hidden="0" allowOverlap="1" wp14:anchorId="4F66154B" wp14:editId="1A4BCCD8">
                <wp:simplePos x="0" y="0"/>
                <wp:positionH relativeFrom="column">
                  <wp:posOffset>2366010</wp:posOffset>
                </wp:positionH>
                <wp:positionV relativeFrom="paragraph">
                  <wp:posOffset>0</wp:posOffset>
                </wp:positionV>
                <wp:extent cx="3845560" cy="809625"/>
                <wp:effectExtent l="0" t="0" r="2540" b="9525"/>
                <wp:wrapSquare wrapText="bothSides" distT="0" distB="0" distL="114300" distR="114300"/>
                <wp:docPr id="1" name="Rectángulo 1"/>
                <wp:cNvGraphicFramePr/>
                <a:graphic xmlns:a="http://schemas.openxmlformats.org/drawingml/2006/main">
                  <a:graphicData uri="http://schemas.microsoft.com/office/word/2010/wordprocessingShape">
                    <wps:wsp>
                      <wps:cNvSpPr/>
                      <wps:spPr>
                        <a:xfrm>
                          <a:off x="0" y="0"/>
                          <a:ext cx="3845560" cy="809625"/>
                        </a:xfrm>
                        <a:prstGeom prst="rect">
                          <a:avLst/>
                        </a:prstGeom>
                        <a:noFill/>
                        <a:ln>
                          <a:noFill/>
                        </a:ln>
                      </wps:spPr>
                      <wps:txbx>
                        <w:txbxContent>
                          <w:p w14:paraId="6A01B9D7" w14:textId="77777777" w:rsidR="00AC56F4" w:rsidRDefault="00AC56F4" w:rsidP="00AC56F4">
                            <w:pPr>
                              <w:spacing w:before="120" w:after="40" w:line="219" w:lineRule="auto"/>
                              <w:jc w:val="right"/>
                              <w:textDirection w:val="btLr"/>
                            </w:pPr>
                            <w:r>
                              <w:rPr>
                                <w:rFonts w:ascii="Noto Sans" w:eastAsia="Noto Sans" w:hAnsi="Noto Sans" w:cs="Noto Sans"/>
                                <w:color w:val="BA8C54"/>
                                <w:sz w:val="28"/>
                              </w:rPr>
                              <w:t>BOLETÍN DE PRENSA</w:t>
                            </w:r>
                          </w:p>
                          <w:p w14:paraId="5F4358DA" w14:textId="646D62E1" w:rsidR="00AC56F4" w:rsidRDefault="00AC56F4" w:rsidP="00AC56F4">
                            <w:pPr>
                              <w:spacing w:before="120" w:after="40" w:line="219" w:lineRule="auto"/>
                              <w:jc w:val="right"/>
                              <w:textDirection w:val="btLr"/>
                            </w:pPr>
                            <w:r>
                              <w:rPr>
                                <w:rFonts w:ascii="Noto Sans" w:eastAsia="Noto Sans" w:hAnsi="Noto Sans" w:cs="Noto Sans"/>
                                <w:color w:val="000000"/>
                                <w:sz w:val="20"/>
                              </w:rPr>
                              <w:t xml:space="preserve">Ciudad de México, </w:t>
                            </w:r>
                            <w:r w:rsidR="00674C05">
                              <w:rPr>
                                <w:rFonts w:ascii="Noto Sans" w:eastAsia="Noto Sans" w:hAnsi="Noto Sans" w:cs="Noto Sans"/>
                                <w:color w:val="000000"/>
                                <w:sz w:val="20"/>
                              </w:rPr>
                              <w:t>miércoles 11</w:t>
                            </w:r>
                            <w:r w:rsidR="00CA64F5">
                              <w:rPr>
                                <w:rFonts w:ascii="Noto Sans" w:eastAsia="Noto Sans" w:hAnsi="Noto Sans" w:cs="Noto Sans"/>
                                <w:color w:val="000000"/>
                                <w:sz w:val="20"/>
                              </w:rPr>
                              <w:t xml:space="preserve"> de marzo</w:t>
                            </w:r>
                            <w:r>
                              <w:rPr>
                                <w:rFonts w:ascii="Noto Sans" w:eastAsia="Noto Sans" w:hAnsi="Noto Sans" w:cs="Noto Sans"/>
                                <w:color w:val="000000"/>
                                <w:sz w:val="20"/>
                              </w:rPr>
                              <w:t xml:space="preserve"> de 2026 </w:t>
                            </w:r>
                          </w:p>
                          <w:p w14:paraId="35B484AE" w14:textId="28EE53DE" w:rsidR="00AC56F4" w:rsidRDefault="00AC56F4" w:rsidP="00AC56F4">
                            <w:pPr>
                              <w:spacing w:before="120" w:after="40" w:line="219" w:lineRule="auto"/>
                              <w:jc w:val="right"/>
                              <w:textDirection w:val="btLr"/>
                            </w:pPr>
                            <w:r>
                              <w:rPr>
                                <w:rFonts w:ascii="Noto Sans" w:eastAsia="Noto Sans" w:hAnsi="Noto Sans" w:cs="Noto Sans"/>
                                <w:color w:val="000000"/>
                                <w:sz w:val="20"/>
                              </w:rPr>
                              <w:t xml:space="preserve">No. </w:t>
                            </w:r>
                            <w:r w:rsidR="002F4076">
                              <w:rPr>
                                <w:rFonts w:ascii="Noto Sans" w:eastAsia="Noto Sans" w:hAnsi="Noto Sans" w:cs="Noto Sans"/>
                                <w:color w:val="000000"/>
                                <w:sz w:val="20"/>
                              </w:rPr>
                              <w:t>130</w:t>
                            </w:r>
                            <w:r>
                              <w:rPr>
                                <w:rFonts w:ascii="Noto Sans" w:eastAsia="Noto Sans" w:hAnsi="Noto Sans" w:cs="Noto Sans"/>
                                <w:color w:val="000000"/>
                                <w:sz w:val="20"/>
                              </w:rPr>
                              <w:t>/2026</w:t>
                            </w:r>
                          </w:p>
                          <w:p w14:paraId="6952C6BF" w14:textId="77777777" w:rsidR="00AC56F4" w:rsidRDefault="00AC56F4" w:rsidP="00AC56F4">
                            <w:pPr>
                              <w:spacing w:before="120" w:after="40" w:line="219" w:lineRule="auto"/>
                              <w:jc w:val="right"/>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F66154B" id="Rectángulo 1" o:spid="_x0000_s1026" style="position:absolute;left:0;text-align:left;margin-left:186.3pt;margin-top:0;width:302.8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" filled="f" stroked="f">
                <v:textbox inset="0,0,0,0">
                  <w:txbxContent>
                    <w:p w14:paraId="6A01B9D7" w14:textId="77777777" w:rsidR="00AC56F4" w:rsidRDefault="00AC56F4" w:rsidP="00AC56F4">
                      <w:pPr>
                        <w:spacing w:before="120" w:after="40" w:line="219" w:lineRule="auto"/>
                        <w:jc w:val="right"/>
                        <w:textDirection w:val="btLr"/>
                      </w:pPr>
                      <w:r>
                        <w:rPr>
                          <w:rFonts w:ascii="Noto Sans" w:eastAsia="Noto Sans" w:hAnsi="Noto Sans" w:cs="Noto Sans"/>
                          <w:color w:val="BA8C54"/>
                          <w:sz w:val="28"/>
                        </w:rPr>
                        <w:t>BOLETÍN DE PRENSA</w:t>
                      </w:r>
                    </w:p>
                    <w:p w14:paraId="5F4358DA" w14:textId="646D62E1" w:rsidR="00AC56F4" w:rsidRDefault="00AC56F4" w:rsidP="00AC56F4">
                      <w:pPr>
                        <w:spacing w:before="120" w:after="40" w:line="219" w:lineRule="auto"/>
                        <w:jc w:val="right"/>
                        <w:textDirection w:val="btLr"/>
                      </w:pPr>
                      <w:r>
                        <w:rPr>
                          <w:rFonts w:ascii="Noto Sans" w:eastAsia="Noto Sans" w:hAnsi="Noto Sans" w:cs="Noto Sans"/>
                          <w:color w:val="000000"/>
                          <w:sz w:val="20"/>
                        </w:rPr>
                        <w:t xml:space="preserve">Ciudad de México, </w:t>
                      </w:r>
                      <w:r w:rsidR="00674C05">
                        <w:rPr>
                          <w:rFonts w:ascii="Noto Sans" w:eastAsia="Noto Sans" w:hAnsi="Noto Sans" w:cs="Noto Sans"/>
                          <w:color w:val="000000"/>
                          <w:sz w:val="20"/>
                        </w:rPr>
                        <w:t>miércoles 11</w:t>
                      </w:r>
                      <w:r w:rsidR="00CA64F5">
                        <w:rPr>
                          <w:rFonts w:ascii="Noto Sans" w:eastAsia="Noto Sans" w:hAnsi="Noto Sans" w:cs="Noto Sans"/>
                          <w:color w:val="000000"/>
                          <w:sz w:val="20"/>
                        </w:rPr>
                        <w:t xml:space="preserve"> de marzo</w:t>
                      </w:r>
                      <w:r>
                        <w:rPr>
                          <w:rFonts w:ascii="Noto Sans" w:eastAsia="Noto Sans" w:hAnsi="Noto Sans" w:cs="Noto Sans"/>
                          <w:color w:val="000000"/>
                          <w:sz w:val="20"/>
                        </w:rPr>
                        <w:t xml:space="preserve"> de 2026 </w:t>
                      </w:r>
                    </w:p>
                    <w:p w14:paraId="35B484AE" w14:textId="28EE53DE" w:rsidR="00AC56F4" w:rsidRDefault="00AC56F4" w:rsidP="00AC56F4">
                      <w:pPr>
                        <w:spacing w:before="120" w:after="40" w:line="219" w:lineRule="auto"/>
                        <w:jc w:val="right"/>
                        <w:textDirection w:val="btLr"/>
                      </w:pPr>
                      <w:r>
                        <w:rPr>
                          <w:rFonts w:ascii="Noto Sans" w:eastAsia="Noto Sans" w:hAnsi="Noto Sans" w:cs="Noto Sans"/>
                          <w:color w:val="000000"/>
                          <w:sz w:val="20"/>
                        </w:rPr>
                        <w:t xml:space="preserve">No. </w:t>
                      </w:r>
                      <w:r w:rsidR="002F4076">
                        <w:rPr>
                          <w:rFonts w:ascii="Noto Sans" w:eastAsia="Noto Sans" w:hAnsi="Noto Sans" w:cs="Noto Sans"/>
                          <w:color w:val="000000"/>
                          <w:sz w:val="20"/>
                        </w:rPr>
                        <w:t>130</w:t>
                      </w:r>
                      <w:r>
                        <w:rPr>
                          <w:rFonts w:ascii="Noto Sans" w:eastAsia="Noto Sans" w:hAnsi="Noto Sans" w:cs="Noto Sans"/>
                          <w:color w:val="000000"/>
                          <w:sz w:val="20"/>
                        </w:rPr>
                        <w:t>/2026</w:t>
                      </w:r>
                    </w:p>
                    <w:p w14:paraId="6952C6BF" w14:textId="77777777" w:rsidR="00AC56F4" w:rsidRDefault="00AC56F4" w:rsidP="00AC56F4">
                      <w:pPr>
                        <w:spacing w:before="120" w:after="40" w:line="219" w:lineRule="auto"/>
                        <w:jc w:val="right"/>
                        <w:textDirection w:val="btLr"/>
                      </w:pPr>
                    </w:p>
                  </w:txbxContent>
                </v:textbox>
                <w10:wrap type="square"/>
              </v:rect>
            </w:pict>
          </mc:Fallback>
        </mc:AlternateContent>
      </w:r>
      <w:r>
        <w:rPr>
          <w:rFonts w:ascii="Geom" w:eastAsia="Geom" w:hAnsi="Geom" w:cs="Geom"/>
          <w:sz w:val="21"/>
          <w:szCs w:val="21"/>
        </w:rPr>
        <w:t xml:space="preserve"> </w:t>
      </w:r>
    </w:p>
    <w:p w14:paraId="38B2D1AF" w14:textId="77777777" w:rsidR="00AC56F4" w:rsidRDefault="00AC56F4" w:rsidP="00AC56F4">
      <w:pPr>
        <w:jc w:val="both"/>
        <w:rPr>
          <w:rFonts w:ascii="Noto Sans" w:eastAsia="Noto Sans" w:hAnsi="Noto Sans" w:cs="Noto Sans"/>
          <w:sz w:val="19"/>
          <w:szCs w:val="19"/>
        </w:rPr>
      </w:pPr>
    </w:p>
    <w:p w14:paraId="3F22FACB" w14:textId="77777777" w:rsidR="00AC56F4" w:rsidRDefault="00AC56F4" w:rsidP="00AC56F4">
      <w:pPr>
        <w:jc w:val="both"/>
        <w:rPr>
          <w:rFonts w:ascii="Noto Sans" w:eastAsia="Noto Sans" w:hAnsi="Noto Sans" w:cs="Noto Sans"/>
          <w:sz w:val="19"/>
          <w:szCs w:val="19"/>
        </w:rPr>
      </w:pPr>
    </w:p>
    <w:p w14:paraId="3BFC1DE1" w14:textId="77777777" w:rsidR="00AC56F4" w:rsidRDefault="00AC56F4" w:rsidP="00AC56F4">
      <w:pPr>
        <w:ind w:right="-1085"/>
        <w:rPr>
          <w:rFonts w:ascii="Noto Sans" w:eastAsia="Noto Sans" w:hAnsi="Noto Sans" w:cs="Noto Sans"/>
          <w:b/>
          <w:bCs/>
        </w:rPr>
      </w:pPr>
    </w:p>
    <w:p w14:paraId="52131C4D" w14:textId="77777777" w:rsidR="00AC56F4" w:rsidRDefault="00AC56F4" w:rsidP="00AC56F4">
      <w:pPr>
        <w:rPr>
          <w:rFonts w:ascii="Noto Sans" w:eastAsia="Noto Sans" w:hAnsi="Noto Sans" w:cs="Noto Sans"/>
          <w:b/>
          <w:bCs/>
        </w:rPr>
      </w:pPr>
      <w:r>
        <w:rPr>
          <w:rFonts w:ascii="Noto Sans" w:eastAsia="Noto Sans" w:hAnsi="Noto Sans" w:cs="Noto Sans"/>
          <w:b/>
          <w:bCs/>
        </w:rPr>
        <w:t xml:space="preserve">                                                                                                                                                   </w:t>
      </w:r>
    </w:p>
    <w:p w14:paraId="021EAF9D" w14:textId="39FCB995" w:rsidR="00AC56F4" w:rsidRPr="00AC56F4" w:rsidRDefault="00AC56F4" w:rsidP="00AC56F4">
      <w:pPr>
        <w:jc w:val="center"/>
        <w:rPr>
          <w:rFonts w:ascii="Noto Sans" w:eastAsia="Noto Sans" w:hAnsi="Noto Sans" w:cs="Noto Sans"/>
          <w:b/>
          <w:bCs/>
          <w:sz w:val="32"/>
          <w:szCs w:val="32"/>
        </w:rPr>
      </w:pPr>
      <w:r w:rsidRPr="00AC56F4">
        <w:rPr>
          <w:rFonts w:ascii="Noto Sans" w:eastAsia="Noto Sans" w:hAnsi="Noto Sans" w:cs="Noto Sans"/>
          <w:b/>
          <w:bCs/>
          <w:sz w:val="32"/>
          <w:szCs w:val="32"/>
        </w:rPr>
        <w:t>IMSS impulsa el conocimiento sobre enfermedades neurodegenerativas durante la Semana del Cerebro</w:t>
      </w:r>
    </w:p>
    <w:p w14:paraId="6E43C0C5" w14:textId="77777777" w:rsidR="00AC56F4" w:rsidRPr="004C356A" w:rsidRDefault="00AC56F4" w:rsidP="00AC56F4">
      <w:pPr>
        <w:jc w:val="both"/>
        <w:rPr>
          <w:rFonts w:ascii="Noto Sans" w:eastAsia="Noto Sans" w:hAnsi="Noto Sans" w:cs="Noto Sans"/>
          <w:b/>
          <w:bCs/>
          <w:sz w:val="22"/>
          <w:szCs w:val="22"/>
        </w:rPr>
      </w:pPr>
    </w:p>
    <w:p w14:paraId="66E7E5EE" w14:textId="58A71827" w:rsidR="004C356A" w:rsidRPr="004C356A" w:rsidRDefault="004C356A" w:rsidP="004C356A">
      <w:pPr>
        <w:pStyle w:val="Prrafodelista"/>
        <w:numPr>
          <w:ilvl w:val="0"/>
          <w:numId w:val="2"/>
        </w:numPr>
        <w:jc w:val="both"/>
        <w:rPr>
          <w:rFonts w:ascii="Noto Sans" w:eastAsia="Noto Sans" w:hAnsi="Noto Sans" w:cs="Noto Sans"/>
          <w:b/>
          <w:bCs/>
          <w:sz w:val="22"/>
          <w:szCs w:val="22"/>
        </w:rPr>
      </w:pPr>
      <w:r w:rsidRPr="004C356A">
        <w:rPr>
          <w:rFonts w:ascii="Noto Sans" w:eastAsia="Noto Sans" w:hAnsi="Noto Sans" w:cs="Noto Sans"/>
          <w:b/>
          <w:bCs/>
          <w:sz w:val="22"/>
          <w:szCs w:val="22"/>
        </w:rPr>
        <w:t>Especialistas nacionales e internacionales participaron en actividades académicas y de divulgación dirigidas a personal de salud y derechohabientes.</w:t>
      </w:r>
    </w:p>
    <w:p w14:paraId="0B0C75CB" w14:textId="77777777" w:rsidR="004C356A" w:rsidRPr="004C356A" w:rsidRDefault="004C356A" w:rsidP="00AC56F4">
      <w:pPr>
        <w:jc w:val="both"/>
        <w:rPr>
          <w:rFonts w:ascii="Noto Sans" w:eastAsia="Noto Sans" w:hAnsi="Noto Sans" w:cs="Noto Sans"/>
          <w:b/>
          <w:bCs/>
        </w:rPr>
      </w:pPr>
    </w:p>
    <w:p w14:paraId="38474240" w14:textId="66D135AA" w:rsidR="00AC56F4" w:rsidRPr="00707D80" w:rsidRDefault="00707D80" w:rsidP="00AC56F4">
      <w:pPr>
        <w:jc w:val="both"/>
        <w:rPr>
          <w:rFonts w:ascii="Noto Sans" w:eastAsia="Noto Sans" w:hAnsi="Noto Sans" w:cs="Noto Sans"/>
        </w:rPr>
      </w:pPr>
      <w:r>
        <w:rPr>
          <w:rFonts w:ascii="Noto Sans" w:hAnsi="Noto Sans" w:cs="Noto Sans"/>
          <w:color w:val="0A0A0A"/>
          <w:shd w:val="clear" w:color="auto" w:fill="FFFFFF"/>
        </w:rPr>
        <w:t>E</w:t>
      </w:r>
      <w:r w:rsidR="00AC56F4" w:rsidRPr="00707D80">
        <w:rPr>
          <w:rFonts w:ascii="Noto Sans" w:eastAsia="Noto Sans" w:hAnsi="Noto Sans" w:cs="Noto Sans"/>
        </w:rPr>
        <w:t xml:space="preserve">l Instituto Mexicano del Seguro Social (IMSS) </w:t>
      </w:r>
      <w:r>
        <w:rPr>
          <w:rFonts w:ascii="Noto Sans" w:eastAsia="Noto Sans" w:hAnsi="Noto Sans" w:cs="Noto Sans"/>
        </w:rPr>
        <w:t>fortalece</w:t>
      </w:r>
      <w:r w:rsidR="00AC56F4" w:rsidRPr="00707D80">
        <w:rPr>
          <w:rFonts w:ascii="Noto Sans" w:eastAsia="Noto Sans" w:hAnsi="Noto Sans" w:cs="Noto Sans"/>
        </w:rPr>
        <w:t xml:space="preserve"> sus acciones en materia de investigación y divulgación científica al participar en la “Semana del Cerebro”, </w:t>
      </w:r>
      <w:r>
        <w:rPr>
          <w:rFonts w:ascii="Noto Sans" w:eastAsia="Noto Sans" w:hAnsi="Noto Sans" w:cs="Noto Sans"/>
        </w:rPr>
        <w:t xml:space="preserve">del 9 al 12 de marzo, </w:t>
      </w:r>
      <w:r w:rsidR="00AC56F4" w:rsidRPr="00707D80">
        <w:rPr>
          <w:rFonts w:ascii="Noto Sans" w:eastAsia="Noto Sans" w:hAnsi="Noto Sans" w:cs="Noto Sans"/>
        </w:rPr>
        <w:t xml:space="preserve">iniciativa organizada por la </w:t>
      </w:r>
      <w:r w:rsidR="00AC56F4" w:rsidRPr="00707D80">
        <w:rPr>
          <w:rFonts w:ascii="Noto Sans" w:eastAsia="Noto Sans" w:hAnsi="Noto Sans" w:cs="Noto Sans"/>
          <w:i/>
          <w:iCs/>
        </w:rPr>
        <w:t xml:space="preserve">International </w:t>
      </w:r>
      <w:proofErr w:type="spellStart"/>
      <w:r w:rsidR="00AC56F4" w:rsidRPr="00707D80">
        <w:rPr>
          <w:rFonts w:ascii="Noto Sans" w:eastAsia="Noto Sans" w:hAnsi="Noto Sans" w:cs="Noto Sans"/>
          <w:i/>
          <w:iCs/>
        </w:rPr>
        <w:t>Brain</w:t>
      </w:r>
      <w:proofErr w:type="spellEnd"/>
      <w:r w:rsidR="00AC56F4" w:rsidRPr="00707D80">
        <w:rPr>
          <w:rFonts w:ascii="Noto Sans" w:eastAsia="Noto Sans" w:hAnsi="Noto Sans" w:cs="Noto Sans"/>
          <w:i/>
          <w:iCs/>
        </w:rPr>
        <w:t xml:space="preserve"> </w:t>
      </w:r>
      <w:proofErr w:type="spellStart"/>
      <w:r w:rsidR="00AC56F4" w:rsidRPr="00707D80">
        <w:rPr>
          <w:rFonts w:ascii="Noto Sans" w:eastAsia="Noto Sans" w:hAnsi="Noto Sans" w:cs="Noto Sans"/>
          <w:i/>
          <w:iCs/>
        </w:rPr>
        <w:t>Research</w:t>
      </w:r>
      <w:proofErr w:type="spellEnd"/>
      <w:r w:rsidR="00AC56F4" w:rsidRPr="00707D80">
        <w:rPr>
          <w:rFonts w:ascii="Noto Sans" w:eastAsia="Noto Sans" w:hAnsi="Noto Sans" w:cs="Noto Sans"/>
          <w:i/>
          <w:iCs/>
        </w:rPr>
        <w:t xml:space="preserve"> </w:t>
      </w:r>
      <w:proofErr w:type="spellStart"/>
      <w:r w:rsidR="00AC56F4" w:rsidRPr="00707D80">
        <w:rPr>
          <w:rFonts w:ascii="Noto Sans" w:eastAsia="Noto Sans" w:hAnsi="Noto Sans" w:cs="Noto Sans"/>
          <w:i/>
          <w:iCs/>
        </w:rPr>
        <w:t>Organization</w:t>
      </w:r>
      <w:proofErr w:type="spellEnd"/>
      <w:r w:rsidR="00AC56F4" w:rsidRPr="00707D80">
        <w:rPr>
          <w:rFonts w:ascii="Noto Sans" w:eastAsia="Noto Sans" w:hAnsi="Noto Sans" w:cs="Noto Sans"/>
        </w:rPr>
        <w:t xml:space="preserve"> y la Fundación Dana, </w:t>
      </w:r>
      <w:r>
        <w:rPr>
          <w:rFonts w:ascii="Noto Sans" w:eastAsia="Noto Sans" w:hAnsi="Noto Sans" w:cs="Noto Sans"/>
        </w:rPr>
        <w:t xml:space="preserve">para </w:t>
      </w:r>
      <w:r w:rsidR="00AC56F4" w:rsidRPr="00707D80">
        <w:rPr>
          <w:rFonts w:ascii="Noto Sans" w:eastAsia="Noto Sans" w:hAnsi="Noto Sans" w:cs="Noto Sans"/>
        </w:rPr>
        <w:t>acercar el conocimiento de las neurociencias a la sociedad.</w:t>
      </w:r>
    </w:p>
    <w:p w14:paraId="20C56566" w14:textId="77777777" w:rsidR="00AC56F4" w:rsidRPr="00AC56F4" w:rsidRDefault="00AC56F4" w:rsidP="00AC56F4">
      <w:pPr>
        <w:jc w:val="both"/>
        <w:rPr>
          <w:rFonts w:ascii="Noto Sans" w:eastAsia="Noto Sans" w:hAnsi="Noto Sans" w:cs="Noto Sans"/>
        </w:rPr>
      </w:pPr>
    </w:p>
    <w:p w14:paraId="4FCFACDB" w14:textId="77777777" w:rsidR="00AC56F4" w:rsidRPr="00AC56F4" w:rsidRDefault="00AC56F4" w:rsidP="00AC56F4">
      <w:pPr>
        <w:jc w:val="both"/>
        <w:rPr>
          <w:rFonts w:ascii="Noto Sans" w:eastAsia="Noto Sans" w:hAnsi="Noto Sans" w:cs="Noto Sans"/>
        </w:rPr>
      </w:pPr>
      <w:r w:rsidRPr="00AC56F4">
        <w:rPr>
          <w:rFonts w:ascii="Noto Sans" w:eastAsia="Noto Sans" w:hAnsi="Noto Sans" w:cs="Noto Sans"/>
        </w:rPr>
        <w:t>En esta edición, las Unidades de Investigación Médica en Enfermedades Neurológicas, Farmacología y Enfermedades Endócrinas del Hospital de Especialidades del Centro Médico Nacional Siglo XXI, con el respaldo de la Coordinación de Investigación en Salud, fueron seleccionadas entre 480 propuestas a nivel mundial, en reconocimiento a su labor para impulsar el estudio y la difusión del conocimiento sobre la salud cerebral.</w:t>
      </w:r>
    </w:p>
    <w:p w14:paraId="6D272D3D" w14:textId="77777777" w:rsidR="00AC56F4" w:rsidRPr="00AC56F4" w:rsidRDefault="00AC56F4" w:rsidP="00AC56F4">
      <w:pPr>
        <w:jc w:val="both"/>
        <w:rPr>
          <w:rFonts w:ascii="Noto Sans" w:eastAsia="Noto Sans" w:hAnsi="Noto Sans" w:cs="Noto Sans"/>
        </w:rPr>
      </w:pPr>
    </w:p>
    <w:p w14:paraId="12FF7BA4" w14:textId="77777777" w:rsidR="00AC56F4" w:rsidRPr="00AC56F4" w:rsidRDefault="00AC56F4" w:rsidP="00AC56F4">
      <w:pPr>
        <w:jc w:val="both"/>
        <w:rPr>
          <w:rFonts w:ascii="Noto Sans" w:eastAsia="Noto Sans" w:hAnsi="Noto Sans" w:cs="Noto Sans"/>
        </w:rPr>
      </w:pPr>
      <w:r w:rsidRPr="00AC56F4">
        <w:rPr>
          <w:rFonts w:ascii="Noto Sans" w:eastAsia="Noto Sans" w:hAnsi="Noto Sans" w:cs="Noto Sans"/>
        </w:rPr>
        <w:t>Este reconocimiento internacional consolida al IMSS como una institución comprometida con la generación de conocimiento científico y con la promoción de estrategias de prevención y diagnóstico oportuno de trastornos neurodegenerativos.</w:t>
      </w:r>
    </w:p>
    <w:p w14:paraId="6E370D6E" w14:textId="77777777" w:rsidR="00AC56F4" w:rsidRPr="00AC56F4" w:rsidRDefault="00AC56F4" w:rsidP="00AC56F4">
      <w:pPr>
        <w:jc w:val="both"/>
        <w:rPr>
          <w:rFonts w:ascii="Noto Sans" w:eastAsia="Noto Sans" w:hAnsi="Noto Sans" w:cs="Noto Sans"/>
        </w:rPr>
      </w:pPr>
    </w:p>
    <w:p w14:paraId="510B2068" w14:textId="77777777" w:rsidR="00AC56F4" w:rsidRPr="00AC56F4" w:rsidRDefault="00AC56F4" w:rsidP="00AC56F4">
      <w:pPr>
        <w:jc w:val="both"/>
        <w:rPr>
          <w:rFonts w:ascii="Noto Sans" w:eastAsia="Noto Sans" w:hAnsi="Noto Sans" w:cs="Noto Sans"/>
        </w:rPr>
      </w:pPr>
      <w:r w:rsidRPr="00AC56F4">
        <w:rPr>
          <w:rFonts w:ascii="Noto Sans" w:eastAsia="Noto Sans" w:hAnsi="Noto Sans" w:cs="Noto Sans"/>
        </w:rPr>
        <w:t>En México, enfermedades como el Alzheimer, el Parkinson y la epilepsia representan un reto creciente de salud pública. La prevalencia de Alzheimer en población mayor de 65 años se estima en 7.8 por ciento. Asimismo, el Parkinson es la segunda enfermedad neurológica más frecuente a nivel mundial, con mayor incidencia en hombres que en mujeres en el país.</w:t>
      </w:r>
    </w:p>
    <w:p w14:paraId="32E721E7" w14:textId="77777777" w:rsidR="00AC56F4" w:rsidRPr="00AC56F4" w:rsidRDefault="00AC56F4" w:rsidP="00AC56F4">
      <w:pPr>
        <w:jc w:val="both"/>
        <w:rPr>
          <w:rFonts w:ascii="Noto Sans" w:eastAsia="Noto Sans" w:hAnsi="Noto Sans" w:cs="Noto Sans"/>
        </w:rPr>
      </w:pPr>
    </w:p>
    <w:p w14:paraId="680C78E0" w14:textId="77777777" w:rsidR="00AC56F4" w:rsidRPr="00AC56F4" w:rsidRDefault="00AC56F4" w:rsidP="00AC56F4">
      <w:pPr>
        <w:jc w:val="both"/>
        <w:rPr>
          <w:rFonts w:ascii="Noto Sans" w:eastAsia="Noto Sans" w:hAnsi="Noto Sans" w:cs="Noto Sans"/>
        </w:rPr>
      </w:pPr>
      <w:r w:rsidRPr="00AC56F4">
        <w:rPr>
          <w:rFonts w:ascii="Noto Sans" w:eastAsia="Noto Sans" w:hAnsi="Noto Sans" w:cs="Noto Sans"/>
        </w:rPr>
        <w:t>Ante este panorama, el IMSS desarrolla estrategias orientadas a la prevención, mediante la identificación y control de factores de riesgo como enfermedades metabólicas y cardiovasculares, así como adicciones, que inciden en la salud cerebral.</w:t>
      </w:r>
    </w:p>
    <w:p w14:paraId="41862109" w14:textId="77777777" w:rsidR="00AC56F4" w:rsidRPr="00AC56F4" w:rsidRDefault="00AC56F4" w:rsidP="00AC56F4">
      <w:pPr>
        <w:jc w:val="both"/>
        <w:rPr>
          <w:rFonts w:ascii="Noto Sans" w:eastAsia="Noto Sans" w:hAnsi="Noto Sans" w:cs="Noto Sans"/>
        </w:rPr>
      </w:pPr>
    </w:p>
    <w:p w14:paraId="6932ECD2" w14:textId="77777777" w:rsidR="007977B0" w:rsidRDefault="00AC56F4" w:rsidP="00AC56F4">
      <w:pPr>
        <w:jc w:val="both"/>
        <w:rPr>
          <w:rFonts w:ascii="Noto Sans" w:eastAsia="Noto Sans" w:hAnsi="Noto Sans" w:cs="Noto Sans"/>
        </w:rPr>
      </w:pPr>
      <w:r w:rsidRPr="00AC56F4">
        <w:rPr>
          <w:rFonts w:ascii="Noto Sans" w:eastAsia="Noto Sans" w:hAnsi="Noto Sans" w:cs="Noto Sans"/>
        </w:rPr>
        <w:t xml:space="preserve">La “Semana del Cerebro”, realizada del 9 al 12 de marzo, </w:t>
      </w:r>
      <w:r w:rsidR="007977B0">
        <w:rPr>
          <w:rFonts w:ascii="Noto Sans" w:eastAsia="Noto Sans" w:hAnsi="Noto Sans" w:cs="Noto Sans"/>
        </w:rPr>
        <w:t>incluye</w:t>
      </w:r>
      <w:r w:rsidRPr="00AC56F4">
        <w:rPr>
          <w:rFonts w:ascii="Noto Sans" w:eastAsia="Noto Sans" w:hAnsi="Noto Sans" w:cs="Noto Sans"/>
        </w:rPr>
        <w:t xml:space="preserve"> jornadas temáticas dedicadas al funcionamiento del cerebro humano, tumores cerebrales, envejecimiento cerebral y trastornos metabólicos asociados a la salud neurológica. </w:t>
      </w:r>
    </w:p>
    <w:p w14:paraId="54FEC91B" w14:textId="77777777" w:rsidR="007977B0" w:rsidRDefault="007977B0" w:rsidP="00AC56F4">
      <w:pPr>
        <w:jc w:val="both"/>
        <w:rPr>
          <w:rFonts w:ascii="Noto Sans" w:eastAsia="Noto Sans" w:hAnsi="Noto Sans" w:cs="Noto Sans"/>
        </w:rPr>
      </w:pPr>
    </w:p>
    <w:p w14:paraId="51AE332E" w14:textId="41166433" w:rsidR="00AC56F4" w:rsidRPr="00AC56F4" w:rsidRDefault="00AC56F4" w:rsidP="00AC56F4">
      <w:pPr>
        <w:jc w:val="both"/>
        <w:rPr>
          <w:rFonts w:ascii="Noto Sans" w:eastAsia="Noto Sans" w:hAnsi="Noto Sans" w:cs="Noto Sans"/>
        </w:rPr>
      </w:pPr>
      <w:r w:rsidRPr="00AC56F4">
        <w:rPr>
          <w:rFonts w:ascii="Noto Sans" w:eastAsia="Noto Sans" w:hAnsi="Noto Sans" w:cs="Noto Sans"/>
        </w:rPr>
        <w:t>En las actividades participar</w:t>
      </w:r>
      <w:r w:rsidR="007977B0">
        <w:rPr>
          <w:rFonts w:ascii="Noto Sans" w:eastAsia="Noto Sans" w:hAnsi="Noto Sans" w:cs="Noto Sans"/>
        </w:rPr>
        <w:t>á</w:t>
      </w:r>
      <w:r w:rsidRPr="00AC56F4">
        <w:rPr>
          <w:rFonts w:ascii="Noto Sans" w:eastAsia="Noto Sans" w:hAnsi="Noto Sans" w:cs="Noto Sans"/>
        </w:rPr>
        <w:t>n especialistas nacionales e internacionales, así como estudiantes de pregrado, posgrado y médicos residentes, quienes realizaron acciones académicas y dinámicas informativas dirigidas a pacientes y personal de salud.</w:t>
      </w:r>
    </w:p>
    <w:p w14:paraId="22EE4E8B" w14:textId="77777777" w:rsidR="00AC56F4" w:rsidRPr="00AC56F4" w:rsidRDefault="00AC56F4" w:rsidP="00AC56F4">
      <w:pPr>
        <w:jc w:val="both"/>
        <w:rPr>
          <w:rFonts w:ascii="Noto Sans" w:eastAsia="Noto Sans" w:hAnsi="Noto Sans" w:cs="Noto Sans"/>
        </w:rPr>
      </w:pPr>
    </w:p>
    <w:p w14:paraId="38AC91F9" w14:textId="2B47F461" w:rsidR="00AC56F4" w:rsidRPr="00AC56F4" w:rsidRDefault="00AC56F4" w:rsidP="00AC56F4">
      <w:pPr>
        <w:jc w:val="both"/>
        <w:rPr>
          <w:rFonts w:ascii="Noto Sans" w:eastAsia="Noto Sans" w:hAnsi="Noto Sans" w:cs="Noto Sans"/>
          <w:sz w:val="16"/>
          <w:szCs w:val="16"/>
        </w:rPr>
      </w:pPr>
      <w:r w:rsidRPr="00AC56F4">
        <w:rPr>
          <w:rFonts w:ascii="Noto Sans" w:eastAsia="Noto Sans" w:hAnsi="Noto Sans" w:cs="Noto Sans"/>
        </w:rPr>
        <w:t>Con estas acciones, el IMSS refrenda su compromiso con la investigación médica y la promoción del conocimiento científico como herramientas fundamentales para fortalecer la atención integral de su población derechohabiente.</w:t>
      </w:r>
    </w:p>
    <w:p w14:paraId="4F68D619" w14:textId="77777777" w:rsidR="00AC56F4" w:rsidRDefault="00AC56F4" w:rsidP="00AC56F4">
      <w:pPr>
        <w:jc w:val="both"/>
        <w:rPr>
          <w:rFonts w:ascii="Noto Sans" w:eastAsia="Noto Sans" w:hAnsi="Noto Sans" w:cs="Noto Sans"/>
          <w:sz w:val="20"/>
          <w:szCs w:val="20"/>
        </w:rPr>
      </w:pPr>
    </w:p>
    <w:p w14:paraId="03EA525B" w14:textId="77777777" w:rsidR="00AC56F4" w:rsidRDefault="00AC56F4" w:rsidP="00AC56F4">
      <w:pPr>
        <w:jc w:val="center"/>
        <w:rPr>
          <w:rFonts w:ascii="Noto Sans" w:eastAsia="Noto Sans" w:hAnsi="Noto Sans" w:cs="Noto Sans"/>
          <w:sz w:val="22"/>
          <w:szCs w:val="22"/>
        </w:rPr>
      </w:pPr>
      <w:r>
        <w:rPr>
          <w:rFonts w:ascii="Noto Sans" w:eastAsia="Noto Sans" w:hAnsi="Noto Sans" w:cs="Noto Sans"/>
          <w:b/>
          <w:bCs/>
          <w:sz w:val="22"/>
          <w:szCs w:val="22"/>
        </w:rPr>
        <w:t xml:space="preserve">---o0o--- </w:t>
      </w:r>
    </w:p>
    <w:p w14:paraId="04FC3C7A" w14:textId="77777777" w:rsidR="00BE776D" w:rsidRDefault="00BE776D"/>
    <w:sectPr w:rsidR="00BE776D" w:rsidSect="00AC56F4">
      <w:headerReference w:type="default" r:id="rId7"/>
      <w:pgSz w:w="12240" w:h="15840"/>
      <w:pgMar w:top="2342" w:right="1134" w:bottom="1843"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86D7" w14:textId="77777777" w:rsidR="00890A45" w:rsidRDefault="00890A45">
      <w:r>
        <w:separator/>
      </w:r>
    </w:p>
  </w:endnote>
  <w:endnote w:type="continuationSeparator" w:id="0">
    <w:p w14:paraId="6DEED18F" w14:textId="77777777" w:rsidR="00890A45" w:rsidRDefault="0089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Noto Sans">
    <w:altName w:val="Nirmala UI"/>
    <w:charset w:val="00"/>
    <w:family w:val="swiss"/>
    <w:pitch w:val="variable"/>
    <w:sig w:usb0="E00082FF" w:usb1="400078FF" w:usb2="00000021" w:usb3="00000000" w:csb0="0000019F" w:csb1="00000000"/>
  </w:font>
  <w:font w:name="Geom">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60A1" w14:textId="77777777" w:rsidR="00890A45" w:rsidRDefault="00890A45">
      <w:r>
        <w:separator/>
      </w:r>
    </w:p>
  </w:footnote>
  <w:footnote w:type="continuationSeparator" w:id="0">
    <w:p w14:paraId="29545293" w14:textId="77777777" w:rsidR="00890A45" w:rsidRDefault="0089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31D7" w14:textId="77777777" w:rsidR="00AC56F4" w:rsidRDefault="00AC56F4">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14:anchorId="552DCC32" wp14:editId="58FF7BF2">
          <wp:simplePos x="0" y="0"/>
          <wp:positionH relativeFrom="column">
            <wp:posOffset>-1080134</wp:posOffset>
          </wp:positionH>
          <wp:positionV relativeFrom="paragraph">
            <wp:posOffset>-441627</wp:posOffset>
          </wp:positionV>
          <wp:extent cx="7825859" cy="10127217"/>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25859" cy="101272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2AA5"/>
    <w:multiLevelType w:val="multilevel"/>
    <w:tmpl w:val="67CED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E95CD6"/>
    <w:multiLevelType w:val="hybridMultilevel"/>
    <w:tmpl w:val="72EE8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88047924">
    <w:abstractNumId w:val="0"/>
  </w:num>
  <w:num w:numId="2" w16cid:durableId="144750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F4"/>
    <w:rsid w:val="002F4076"/>
    <w:rsid w:val="003121C5"/>
    <w:rsid w:val="003D2EBD"/>
    <w:rsid w:val="003D6ABC"/>
    <w:rsid w:val="004C356A"/>
    <w:rsid w:val="00674C05"/>
    <w:rsid w:val="006D6B4B"/>
    <w:rsid w:val="00707D80"/>
    <w:rsid w:val="007977B0"/>
    <w:rsid w:val="00890A45"/>
    <w:rsid w:val="00AC56F4"/>
    <w:rsid w:val="00BE776D"/>
    <w:rsid w:val="00CA64F5"/>
    <w:rsid w:val="00EE3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70DB"/>
  <w15:chartTrackingRefBased/>
  <w15:docId w15:val="{8235F46F-10BE-4D03-B063-59446BF1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F4"/>
    <w:pPr>
      <w:spacing w:after="0" w:line="240" w:lineRule="auto"/>
    </w:pPr>
    <w:rPr>
      <w:rFonts w:ascii="Calibri" w:eastAsia="Calibri" w:hAnsi="Calibri" w:cs="Calibri"/>
      <w:kern w:val="0"/>
      <w:lang w:val="es" w:eastAsia="es-MX"/>
      <w14:ligatures w14:val="none"/>
    </w:rPr>
  </w:style>
  <w:style w:type="paragraph" w:styleId="Ttulo1">
    <w:name w:val="heading 1"/>
    <w:basedOn w:val="Normal"/>
    <w:next w:val="Normal"/>
    <w:link w:val="Ttulo1Car"/>
    <w:uiPriority w:val="9"/>
    <w:qFormat/>
    <w:rsid w:val="00AC5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5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56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56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56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56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6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6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6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6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56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56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56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56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56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6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6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6F4"/>
    <w:rPr>
      <w:rFonts w:eastAsiaTheme="majorEastAsia" w:cstheme="majorBidi"/>
      <w:color w:val="272727" w:themeColor="text1" w:themeTint="D8"/>
    </w:rPr>
  </w:style>
  <w:style w:type="paragraph" w:styleId="Ttulo">
    <w:name w:val="Title"/>
    <w:basedOn w:val="Normal"/>
    <w:next w:val="Normal"/>
    <w:link w:val="TtuloCar"/>
    <w:uiPriority w:val="10"/>
    <w:qFormat/>
    <w:rsid w:val="00AC56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6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6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6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6F4"/>
    <w:pPr>
      <w:spacing w:before="160"/>
      <w:jc w:val="center"/>
    </w:pPr>
    <w:rPr>
      <w:i/>
      <w:iCs/>
      <w:color w:val="404040" w:themeColor="text1" w:themeTint="BF"/>
    </w:rPr>
  </w:style>
  <w:style w:type="character" w:customStyle="1" w:styleId="CitaCar">
    <w:name w:val="Cita Car"/>
    <w:basedOn w:val="Fuentedeprrafopredeter"/>
    <w:link w:val="Cita"/>
    <w:uiPriority w:val="29"/>
    <w:rsid w:val="00AC56F4"/>
    <w:rPr>
      <w:i/>
      <w:iCs/>
      <w:color w:val="404040" w:themeColor="text1" w:themeTint="BF"/>
    </w:rPr>
  </w:style>
  <w:style w:type="paragraph" w:styleId="Prrafodelista">
    <w:name w:val="List Paragraph"/>
    <w:basedOn w:val="Normal"/>
    <w:uiPriority w:val="34"/>
    <w:qFormat/>
    <w:rsid w:val="00AC56F4"/>
    <w:pPr>
      <w:ind w:left="720"/>
      <w:contextualSpacing/>
    </w:pPr>
  </w:style>
  <w:style w:type="character" w:styleId="nfasisintenso">
    <w:name w:val="Intense Emphasis"/>
    <w:basedOn w:val="Fuentedeprrafopredeter"/>
    <w:uiPriority w:val="21"/>
    <w:qFormat/>
    <w:rsid w:val="00AC56F4"/>
    <w:rPr>
      <w:i/>
      <w:iCs/>
      <w:color w:val="0F4761" w:themeColor="accent1" w:themeShade="BF"/>
    </w:rPr>
  </w:style>
  <w:style w:type="paragraph" w:styleId="Citadestacada">
    <w:name w:val="Intense Quote"/>
    <w:basedOn w:val="Normal"/>
    <w:next w:val="Normal"/>
    <w:link w:val="CitadestacadaCar"/>
    <w:uiPriority w:val="30"/>
    <w:qFormat/>
    <w:rsid w:val="00AC5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56F4"/>
    <w:rPr>
      <w:i/>
      <w:iCs/>
      <w:color w:val="0F4761" w:themeColor="accent1" w:themeShade="BF"/>
    </w:rPr>
  </w:style>
  <w:style w:type="character" w:styleId="Referenciaintensa">
    <w:name w:val="Intense Reference"/>
    <w:basedOn w:val="Fuentedeprrafopredeter"/>
    <w:uiPriority w:val="32"/>
    <w:qFormat/>
    <w:rsid w:val="00AC5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Alberto Ruiz Aleman</dc:creator>
  <cp:keywords/>
  <dc:description/>
  <cp:lastModifiedBy>Luz Maria Rico Jardon</cp:lastModifiedBy>
  <cp:revision>2</cp:revision>
  <dcterms:created xsi:type="dcterms:W3CDTF">2026-03-11T15:09:00Z</dcterms:created>
  <dcterms:modified xsi:type="dcterms:W3CDTF">2026-03-11T15:09:00Z</dcterms:modified>
</cp:coreProperties>
</file>