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C2787D" w14:textId="789DEB91" w:rsidR="00D47E82" w:rsidRDefault="00270520">
      <w:pPr>
        <w:jc w:val="both"/>
        <w:rPr>
          <w:rFonts w:ascii="Noto Sans" w:eastAsia="Noto Sans" w:hAnsi="Noto Sans" w:cs="Noto Sans"/>
          <w:sz w:val="19"/>
          <w:szCs w:val="19"/>
        </w:rPr>
      </w:pPr>
      <w:r>
        <w:rPr>
          <w:noProof/>
        </w:rPr>
        <mc:AlternateContent>
          <mc:Choice Requires="wps">
            <w:drawing>
              <wp:anchor distT="0" distB="0" distL="114300" distR="114300" simplePos="0" relativeHeight="251658240" behindDoc="0" locked="0" layoutInCell="1" hidden="0" allowOverlap="1" wp14:anchorId="6B4C47EE" wp14:editId="70531990">
                <wp:simplePos x="0" y="0"/>
                <wp:positionH relativeFrom="column">
                  <wp:posOffset>2366010</wp:posOffset>
                </wp:positionH>
                <wp:positionV relativeFrom="paragraph">
                  <wp:posOffset>0</wp:posOffset>
                </wp:positionV>
                <wp:extent cx="3845560" cy="809625"/>
                <wp:effectExtent l="0" t="0" r="2540" b="9525"/>
                <wp:wrapSquare wrapText="bothSides" distT="0" distB="0" distL="114300" distR="114300"/>
                <wp:docPr id="1" name="Rectángulo 1"/>
                <wp:cNvGraphicFramePr/>
                <a:graphic xmlns:a="http://schemas.openxmlformats.org/drawingml/2006/main">
                  <a:graphicData uri="http://schemas.microsoft.com/office/word/2010/wordprocessingShape">
                    <wps:wsp>
                      <wps:cNvSpPr/>
                      <wps:spPr>
                        <a:xfrm>
                          <a:off x="0" y="0"/>
                          <a:ext cx="3845560" cy="809625"/>
                        </a:xfrm>
                        <a:prstGeom prst="rect">
                          <a:avLst/>
                        </a:prstGeom>
                        <a:noFill/>
                        <a:ln>
                          <a:noFill/>
                        </a:ln>
                      </wps:spPr>
                      <wps:txbx>
                        <w:txbxContent>
                          <w:p w14:paraId="12A08305" w14:textId="77777777" w:rsidR="00D47E82" w:rsidRDefault="00C275D6">
                            <w:pPr>
                              <w:spacing w:before="120" w:after="40" w:line="219" w:lineRule="auto"/>
                              <w:jc w:val="right"/>
                              <w:textDirection w:val="btLr"/>
                            </w:pPr>
                            <w:r>
                              <w:rPr>
                                <w:rFonts w:ascii="Noto Sans" w:eastAsia="Noto Sans" w:hAnsi="Noto Sans" w:cs="Noto Sans"/>
                                <w:color w:val="BA8C54"/>
                                <w:sz w:val="28"/>
                              </w:rPr>
                              <w:t>BOLETÍN DE PRENSA</w:t>
                            </w:r>
                          </w:p>
                          <w:p w14:paraId="32CF03C6" w14:textId="4DC9944C" w:rsidR="00D47E82" w:rsidRDefault="00C275D6">
                            <w:pPr>
                              <w:spacing w:before="120" w:after="40" w:line="219" w:lineRule="auto"/>
                              <w:jc w:val="right"/>
                              <w:textDirection w:val="btLr"/>
                            </w:pPr>
                            <w:r>
                              <w:rPr>
                                <w:rFonts w:ascii="Noto Sans" w:eastAsia="Noto Sans" w:hAnsi="Noto Sans" w:cs="Noto Sans"/>
                                <w:color w:val="000000"/>
                                <w:sz w:val="20"/>
                              </w:rPr>
                              <w:t xml:space="preserve">Ciudad de México, </w:t>
                            </w:r>
                            <w:r w:rsidR="00270520">
                              <w:rPr>
                                <w:rFonts w:ascii="Noto Sans" w:eastAsia="Noto Sans" w:hAnsi="Noto Sans" w:cs="Noto Sans"/>
                                <w:color w:val="000000"/>
                                <w:sz w:val="20"/>
                              </w:rPr>
                              <w:t>viernes 27</w:t>
                            </w:r>
                            <w:r>
                              <w:rPr>
                                <w:rFonts w:ascii="Noto Sans" w:eastAsia="Noto Sans" w:hAnsi="Noto Sans" w:cs="Noto Sans"/>
                                <w:color w:val="000000"/>
                                <w:sz w:val="20"/>
                              </w:rPr>
                              <w:t xml:space="preserve"> de febrero de 2026 </w:t>
                            </w:r>
                          </w:p>
                          <w:p w14:paraId="4AD09C2B" w14:textId="57F4C1FB" w:rsidR="00D47E82" w:rsidRDefault="00C275D6">
                            <w:pPr>
                              <w:spacing w:before="120" w:after="40" w:line="219" w:lineRule="auto"/>
                              <w:jc w:val="right"/>
                              <w:textDirection w:val="btLr"/>
                            </w:pPr>
                            <w:r>
                              <w:rPr>
                                <w:rFonts w:ascii="Noto Sans" w:eastAsia="Noto Sans" w:hAnsi="Noto Sans" w:cs="Noto Sans"/>
                                <w:color w:val="000000"/>
                                <w:sz w:val="20"/>
                              </w:rPr>
                              <w:t>No. 106</w:t>
                            </w:r>
                            <w:r>
                              <w:rPr>
                                <w:rFonts w:ascii="Noto Sans" w:eastAsia="Noto Sans" w:hAnsi="Noto Sans" w:cs="Noto Sans"/>
                                <w:color w:val="000000"/>
                                <w:sz w:val="20"/>
                              </w:rPr>
                              <w:t>/2026</w:t>
                            </w:r>
                          </w:p>
                          <w:p w14:paraId="40040446" w14:textId="77777777" w:rsidR="00D47E82" w:rsidRDefault="00D47E82">
                            <w:pPr>
                              <w:spacing w:before="120" w:after="40" w:line="219" w:lineRule="auto"/>
                              <w:jc w:val="right"/>
                              <w:textDirection w:val="btLr"/>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6B4C47EE" id="Rectángulo 1" o:spid="_x0000_s1026" style="position:absolute;left:0;text-align:left;margin-left:186.3pt;margin-top:0;width:302.8pt;height:6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" filled="f" stroked="f">
                <v:textbox inset="0,0,0,0">
                  <w:txbxContent>
                    <w:p w14:paraId="12A08305" w14:textId="77777777" w:rsidR="00D47E82" w:rsidRDefault="00C275D6">
                      <w:pPr>
                        <w:spacing w:before="120" w:after="40" w:line="219" w:lineRule="auto"/>
                        <w:jc w:val="right"/>
                        <w:textDirection w:val="btLr"/>
                      </w:pPr>
                      <w:r>
                        <w:rPr>
                          <w:rFonts w:ascii="Noto Sans" w:eastAsia="Noto Sans" w:hAnsi="Noto Sans" w:cs="Noto Sans"/>
                          <w:color w:val="BA8C54"/>
                          <w:sz w:val="28"/>
                        </w:rPr>
                        <w:t>BOLETÍN DE PRENSA</w:t>
                      </w:r>
                    </w:p>
                    <w:p w14:paraId="32CF03C6" w14:textId="4DC9944C" w:rsidR="00D47E82" w:rsidRDefault="00C275D6">
                      <w:pPr>
                        <w:spacing w:before="120" w:after="40" w:line="219" w:lineRule="auto"/>
                        <w:jc w:val="right"/>
                        <w:textDirection w:val="btLr"/>
                      </w:pPr>
                      <w:r>
                        <w:rPr>
                          <w:rFonts w:ascii="Noto Sans" w:eastAsia="Noto Sans" w:hAnsi="Noto Sans" w:cs="Noto Sans"/>
                          <w:color w:val="000000"/>
                          <w:sz w:val="20"/>
                        </w:rPr>
                        <w:t xml:space="preserve">Ciudad de México, </w:t>
                      </w:r>
                      <w:r w:rsidR="00270520">
                        <w:rPr>
                          <w:rFonts w:ascii="Noto Sans" w:eastAsia="Noto Sans" w:hAnsi="Noto Sans" w:cs="Noto Sans"/>
                          <w:color w:val="000000"/>
                          <w:sz w:val="20"/>
                        </w:rPr>
                        <w:t>viernes 27</w:t>
                      </w:r>
                      <w:r>
                        <w:rPr>
                          <w:rFonts w:ascii="Noto Sans" w:eastAsia="Noto Sans" w:hAnsi="Noto Sans" w:cs="Noto Sans"/>
                          <w:color w:val="000000"/>
                          <w:sz w:val="20"/>
                        </w:rPr>
                        <w:t xml:space="preserve"> de febrero de 2026 </w:t>
                      </w:r>
                    </w:p>
                    <w:p w14:paraId="4AD09C2B" w14:textId="57F4C1FB" w:rsidR="00D47E82" w:rsidRDefault="00C275D6">
                      <w:pPr>
                        <w:spacing w:before="120" w:after="40" w:line="219" w:lineRule="auto"/>
                        <w:jc w:val="right"/>
                        <w:textDirection w:val="btLr"/>
                      </w:pPr>
                      <w:r>
                        <w:rPr>
                          <w:rFonts w:ascii="Noto Sans" w:eastAsia="Noto Sans" w:hAnsi="Noto Sans" w:cs="Noto Sans"/>
                          <w:color w:val="000000"/>
                          <w:sz w:val="20"/>
                        </w:rPr>
                        <w:t>No. 106</w:t>
                      </w:r>
                      <w:r>
                        <w:rPr>
                          <w:rFonts w:ascii="Noto Sans" w:eastAsia="Noto Sans" w:hAnsi="Noto Sans" w:cs="Noto Sans"/>
                          <w:color w:val="000000"/>
                          <w:sz w:val="20"/>
                        </w:rPr>
                        <w:t>/2026</w:t>
                      </w:r>
                    </w:p>
                    <w:p w14:paraId="40040446" w14:textId="77777777" w:rsidR="00D47E82" w:rsidRDefault="00D47E82">
                      <w:pPr>
                        <w:spacing w:before="120" w:after="40" w:line="219" w:lineRule="auto"/>
                        <w:jc w:val="right"/>
                        <w:textDirection w:val="btLr"/>
                      </w:pPr>
                    </w:p>
                  </w:txbxContent>
                </v:textbox>
                <w10:wrap type="square"/>
              </v:rect>
            </w:pict>
          </mc:Fallback>
        </mc:AlternateContent>
      </w:r>
      <w:r>
        <w:rPr>
          <w:rFonts w:ascii="Geom" w:eastAsia="Geom" w:hAnsi="Geom" w:cs="Geom"/>
          <w:sz w:val="21"/>
          <w:szCs w:val="21"/>
        </w:rPr>
        <w:t xml:space="preserve"> </w:t>
      </w:r>
    </w:p>
    <w:p w14:paraId="5A953378" w14:textId="77777777" w:rsidR="00D47E82" w:rsidRDefault="00D47E82">
      <w:pPr>
        <w:jc w:val="both"/>
        <w:rPr>
          <w:rFonts w:ascii="Noto Sans" w:eastAsia="Noto Sans" w:hAnsi="Noto Sans" w:cs="Noto Sans"/>
          <w:sz w:val="19"/>
          <w:szCs w:val="19"/>
        </w:rPr>
      </w:pPr>
    </w:p>
    <w:p w14:paraId="28E45731" w14:textId="77777777" w:rsidR="00D47E82" w:rsidRDefault="00D47E82">
      <w:pPr>
        <w:jc w:val="both"/>
        <w:rPr>
          <w:rFonts w:ascii="Noto Sans" w:eastAsia="Noto Sans" w:hAnsi="Noto Sans" w:cs="Noto Sans"/>
          <w:sz w:val="19"/>
          <w:szCs w:val="19"/>
        </w:rPr>
      </w:pPr>
    </w:p>
    <w:p w14:paraId="5AF1A90C" w14:textId="77777777" w:rsidR="00D47E82" w:rsidRDefault="00D47E82">
      <w:pPr>
        <w:ind w:right="-1085"/>
        <w:rPr>
          <w:rFonts w:ascii="Noto Sans" w:eastAsia="Noto Sans" w:hAnsi="Noto Sans" w:cs="Noto Sans"/>
          <w:b/>
          <w:bCs/>
        </w:rPr>
      </w:pPr>
    </w:p>
    <w:p w14:paraId="03EF1EAF" w14:textId="77777777" w:rsidR="00D47E82" w:rsidRDefault="00C275D6">
      <w:pPr>
        <w:rPr>
          <w:rFonts w:ascii="Noto Sans" w:eastAsia="Noto Sans" w:hAnsi="Noto Sans" w:cs="Noto Sans"/>
          <w:b/>
          <w:bCs/>
        </w:rPr>
      </w:pPr>
      <w:r>
        <w:rPr>
          <w:rFonts w:ascii="Noto Sans" w:eastAsia="Noto Sans" w:hAnsi="Noto Sans" w:cs="Noto Sans"/>
          <w:b/>
          <w:bCs/>
        </w:rPr>
        <w:t xml:space="preserve">                                                                                                                                                   </w:t>
      </w:r>
    </w:p>
    <w:p w14:paraId="0778D394" w14:textId="77777777" w:rsidR="00D47E82" w:rsidRDefault="00C275D6">
      <w:pPr>
        <w:jc w:val="center"/>
        <w:rPr>
          <w:rFonts w:ascii="Noto Sans" w:eastAsia="Noto Sans" w:hAnsi="Noto Sans" w:cs="Noto Sans"/>
          <w:b/>
          <w:bCs/>
          <w:sz w:val="32"/>
          <w:szCs w:val="32"/>
        </w:rPr>
      </w:pPr>
      <w:r>
        <w:rPr>
          <w:rFonts w:ascii="Noto Sans" w:eastAsia="Noto Sans" w:hAnsi="Noto Sans" w:cs="Noto Sans"/>
          <w:b/>
          <w:bCs/>
          <w:sz w:val="32"/>
          <w:szCs w:val="32"/>
        </w:rPr>
        <w:t>IMSS ampliará red de trasplante de médula ósea con seis nuevas unidades estratégicas para elevar supervivencia</w:t>
      </w:r>
    </w:p>
    <w:p w14:paraId="41598A7D" w14:textId="77777777" w:rsidR="00D47E82" w:rsidRDefault="00D47E82">
      <w:pPr>
        <w:jc w:val="center"/>
        <w:rPr>
          <w:rFonts w:ascii="Noto Sans" w:eastAsia="Noto Sans" w:hAnsi="Noto Sans" w:cs="Noto Sans"/>
          <w:b/>
          <w:bCs/>
        </w:rPr>
      </w:pPr>
    </w:p>
    <w:p w14:paraId="2322C051" w14:textId="77777777" w:rsidR="00D47E82" w:rsidRDefault="00C275D6">
      <w:pPr>
        <w:numPr>
          <w:ilvl w:val="0"/>
          <w:numId w:val="1"/>
        </w:numPr>
        <w:pBdr>
          <w:top w:val="nil"/>
          <w:left w:val="nil"/>
          <w:bottom w:val="nil"/>
          <w:right w:val="nil"/>
          <w:between w:val="nil"/>
        </w:pBdr>
        <w:jc w:val="both"/>
        <w:rPr>
          <w:b/>
          <w:bCs/>
          <w:color w:val="000000"/>
          <w:sz w:val="20"/>
          <w:szCs w:val="20"/>
        </w:rPr>
      </w:pPr>
      <w:r>
        <w:rPr>
          <w:rFonts w:ascii="Noto Sans" w:eastAsia="Noto Sans" w:hAnsi="Noto Sans" w:cs="Noto Sans"/>
          <w:b/>
          <w:bCs/>
          <w:color w:val="000000"/>
          <w:sz w:val="20"/>
          <w:szCs w:val="20"/>
        </w:rPr>
        <w:t>El Instituto Mexicano del Seguro Social proyecta estas nuevas Unidades en: Tijuana, Tuxtla Gutiérrez, Cancún, Orizaba, Jalisco y Metepec.</w:t>
      </w:r>
    </w:p>
    <w:p w14:paraId="0738B447" w14:textId="77777777" w:rsidR="00D47E82" w:rsidRDefault="00C275D6">
      <w:pPr>
        <w:numPr>
          <w:ilvl w:val="0"/>
          <w:numId w:val="1"/>
        </w:numPr>
        <w:pBdr>
          <w:top w:val="nil"/>
          <w:left w:val="nil"/>
          <w:bottom w:val="nil"/>
          <w:right w:val="nil"/>
          <w:between w:val="nil"/>
        </w:pBdr>
        <w:jc w:val="both"/>
        <w:rPr>
          <w:b/>
          <w:bCs/>
          <w:color w:val="000000"/>
          <w:sz w:val="20"/>
          <w:szCs w:val="20"/>
        </w:rPr>
      </w:pPr>
      <w:r>
        <w:rPr>
          <w:rFonts w:ascii="Noto Sans" w:eastAsia="Noto Sans" w:hAnsi="Noto Sans" w:cs="Noto Sans"/>
          <w:b/>
          <w:bCs/>
          <w:color w:val="000000"/>
          <w:sz w:val="20"/>
          <w:szCs w:val="20"/>
        </w:rPr>
        <w:t>El doctor Enrique López Aguilar, titular de la Coordinación de Oncología, Donación y Trasplantes del IMSS, informó que fortalecerán la capacidad nacional de trasplante de médula ósea, particularmente en el sureste del país.</w:t>
      </w:r>
    </w:p>
    <w:p w14:paraId="2568BAE5" w14:textId="77777777" w:rsidR="00D47E82" w:rsidRDefault="00D47E82">
      <w:pPr>
        <w:rPr>
          <w:rFonts w:ascii="Noto Sans" w:eastAsia="Noto Sans" w:hAnsi="Noto Sans" w:cs="Noto Sans"/>
          <w:b/>
          <w:bCs/>
          <w:sz w:val="20"/>
          <w:szCs w:val="20"/>
        </w:rPr>
      </w:pPr>
    </w:p>
    <w:p w14:paraId="3DD6B863" w14:textId="77777777" w:rsidR="00D47E82" w:rsidRDefault="00C275D6">
      <w:pPr>
        <w:jc w:val="both"/>
        <w:rPr>
          <w:rFonts w:ascii="Noto Sans" w:eastAsia="Noto Sans" w:hAnsi="Noto Sans" w:cs="Noto Sans"/>
          <w:sz w:val="20"/>
          <w:szCs w:val="20"/>
        </w:rPr>
      </w:pPr>
      <w:r>
        <w:rPr>
          <w:rFonts w:ascii="Noto Sans" w:eastAsia="Noto Sans" w:hAnsi="Noto Sans" w:cs="Noto Sans"/>
          <w:sz w:val="20"/>
          <w:szCs w:val="20"/>
        </w:rPr>
        <w:t>El Instituto Mexicano del Seguro Social (IMSS), a través de la</w:t>
      </w:r>
      <w:r>
        <w:t xml:space="preserve"> </w:t>
      </w:r>
      <w:r>
        <w:rPr>
          <w:rFonts w:ascii="Noto Sans" w:eastAsia="Noto Sans" w:hAnsi="Noto Sans" w:cs="Noto Sans"/>
          <w:sz w:val="20"/>
          <w:szCs w:val="20"/>
        </w:rPr>
        <w:t xml:space="preserve">Coordinación de Oncología, Donación y Trasplantes, implementará seis nuevas Unidades de Trasplante de Médula Ósea en puntos estratégicos del país, con el objetivo de reducir listas de espera, ampliar el acceso a terapias altamente especializadas y elevar la oportunidad de supervivencia mediante atención de precisión para pacientes pediátricos y adultos con padecimientos oncohematológicos. </w:t>
      </w:r>
    </w:p>
    <w:p w14:paraId="716C7598" w14:textId="77777777" w:rsidR="00D47E82" w:rsidRDefault="00D47E82">
      <w:pPr>
        <w:jc w:val="both"/>
        <w:rPr>
          <w:rFonts w:ascii="Noto Sans" w:eastAsia="Noto Sans" w:hAnsi="Noto Sans" w:cs="Noto Sans"/>
          <w:sz w:val="20"/>
          <w:szCs w:val="20"/>
        </w:rPr>
      </w:pPr>
    </w:p>
    <w:p w14:paraId="68E83AEF" w14:textId="77777777" w:rsidR="00D47E82" w:rsidRDefault="00C275D6">
      <w:pPr>
        <w:jc w:val="both"/>
        <w:rPr>
          <w:rFonts w:ascii="Noto Sans" w:eastAsia="Noto Sans" w:hAnsi="Noto Sans" w:cs="Noto Sans"/>
          <w:sz w:val="20"/>
          <w:szCs w:val="20"/>
        </w:rPr>
      </w:pPr>
      <w:r>
        <w:rPr>
          <w:rFonts w:ascii="Noto Sans" w:eastAsia="Noto Sans" w:hAnsi="Noto Sans" w:cs="Noto Sans"/>
          <w:sz w:val="20"/>
          <w:szCs w:val="20"/>
        </w:rPr>
        <w:t>El doctor Enrique López Aguilar, titular de la Coordinación de Oncología, Donación y Trasplantes del IMSS, informó que la ampliación de unidades se apoya en el desarrollo de la red de Centros de Referencia Estatal para la Atención del Niño y la Niña con Cáncer (</w:t>
      </w:r>
      <w:proofErr w:type="spellStart"/>
      <w:r>
        <w:rPr>
          <w:rFonts w:ascii="Noto Sans" w:eastAsia="Noto Sans" w:hAnsi="Noto Sans" w:cs="Noto Sans"/>
          <w:sz w:val="20"/>
          <w:szCs w:val="20"/>
        </w:rPr>
        <w:t>OncoCREAN</w:t>
      </w:r>
      <w:proofErr w:type="spellEnd"/>
      <w:r>
        <w:rPr>
          <w:rFonts w:ascii="Noto Sans" w:eastAsia="Noto Sans" w:hAnsi="Noto Sans" w:cs="Noto Sans"/>
          <w:sz w:val="20"/>
          <w:szCs w:val="20"/>
        </w:rPr>
        <w:t xml:space="preserve">), que suma 36 unidades y opera con un enfoque de medicina de precisión. </w:t>
      </w:r>
    </w:p>
    <w:p w14:paraId="3029C043" w14:textId="77777777" w:rsidR="00D47E82" w:rsidRDefault="00D47E82">
      <w:pPr>
        <w:jc w:val="both"/>
        <w:rPr>
          <w:rFonts w:ascii="Noto Sans" w:eastAsia="Noto Sans" w:hAnsi="Noto Sans" w:cs="Noto Sans"/>
          <w:sz w:val="20"/>
          <w:szCs w:val="20"/>
        </w:rPr>
      </w:pPr>
    </w:p>
    <w:p w14:paraId="4CC19139" w14:textId="77777777" w:rsidR="00D47E82" w:rsidRDefault="00C275D6">
      <w:pPr>
        <w:jc w:val="both"/>
        <w:rPr>
          <w:rFonts w:ascii="Noto Sans" w:eastAsia="Noto Sans" w:hAnsi="Noto Sans" w:cs="Noto Sans"/>
          <w:sz w:val="20"/>
          <w:szCs w:val="20"/>
        </w:rPr>
      </w:pPr>
      <w:r>
        <w:rPr>
          <w:rFonts w:ascii="Noto Sans" w:eastAsia="Noto Sans" w:hAnsi="Noto Sans" w:cs="Noto Sans"/>
          <w:sz w:val="20"/>
          <w:szCs w:val="20"/>
        </w:rPr>
        <w:t xml:space="preserve">Destacó que el IMSS proyecta las nuevas Unidades en Tijuana, Baja California; en el Hospital General Regional de Especialidades “XIV de Septiembre” en Tuxtla Gutiérrez, Chiapas; en Cancún, Quintana Roo; en Orizaba, Veracruz; en la Unidad Médica de Alta Especialidad (UMAE) Hospital de Pediatría del Centro Médico Nacional de Occidente (CMNO), en Jalisco; y en Metepec, Estado de México. </w:t>
      </w:r>
    </w:p>
    <w:p w14:paraId="38ED0B1A" w14:textId="77777777" w:rsidR="00D47E82" w:rsidRDefault="00D47E82">
      <w:pPr>
        <w:jc w:val="both"/>
        <w:rPr>
          <w:rFonts w:ascii="Noto Sans" w:eastAsia="Noto Sans" w:hAnsi="Noto Sans" w:cs="Noto Sans"/>
          <w:sz w:val="20"/>
          <w:szCs w:val="20"/>
        </w:rPr>
      </w:pPr>
    </w:p>
    <w:p w14:paraId="78CFC4A6" w14:textId="77777777" w:rsidR="00D47E82" w:rsidRDefault="00C275D6">
      <w:pPr>
        <w:jc w:val="both"/>
        <w:rPr>
          <w:rFonts w:ascii="Noto Sans" w:eastAsia="Noto Sans" w:hAnsi="Noto Sans" w:cs="Noto Sans"/>
          <w:sz w:val="20"/>
          <w:szCs w:val="20"/>
        </w:rPr>
      </w:pPr>
      <w:r>
        <w:rPr>
          <w:rFonts w:ascii="Noto Sans" w:eastAsia="Noto Sans" w:hAnsi="Noto Sans" w:cs="Noto Sans"/>
          <w:sz w:val="20"/>
          <w:szCs w:val="20"/>
        </w:rPr>
        <w:t xml:space="preserve">El oncólogo pediatra del IMSS indicó que esta expansión tiene énfasis territorial en regiones que habían quedado con menor cobertura, en especial el sureste; además, la selección de sedes responde a la incidencia de cáncer y a la ausencia previa de unidades de trasplante, así como a la madurez operativa alcanzada por los equipos estatales. </w:t>
      </w:r>
    </w:p>
    <w:p w14:paraId="55B81D33" w14:textId="77777777" w:rsidR="00D47E82" w:rsidRDefault="00D47E82">
      <w:pPr>
        <w:jc w:val="both"/>
        <w:rPr>
          <w:rFonts w:ascii="Noto Sans" w:eastAsia="Noto Sans" w:hAnsi="Noto Sans" w:cs="Noto Sans"/>
          <w:sz w:val="20"/>
          <w:szCs w:val="20"/>
        </w:rPr>
      </w:pPr>
    </w:p>
    <w:p w14:paraId="134501F9" w14:textId="77777777" w:rsidR="00D47E82" w:rsidRDefault="00C275D6">
      <w:pPr>
        <w:jc w:val="both"/>
        <w:rPr>
          <w:rFonts w:ascii="Noto Sans" w:eastAsia="Noto Sans" w:hAnsi="Noto Sans" w:cs="Noto Sans"/>
          <w:sz w:val="20"/>
          <w:szCs w:val="20"/>
        </w:rPr>
      </w:pPr>
      <w:r>
        <w:rPr>
          <w:rFonts w:ascii="Noto Sans" w:eastAsia="Noto Sans" w:hAnsi="Noto Sans" w:cs="Noto Sans"/>
          <w:sz w:val="20"/>
          <w:szCs w:val="20"/>
        </w:rPr>
        <w:t>El doctor López Aguilar subrayó que se fortalecerá la capacidad resolutiva institucional y responderá al aumento de necesidades clínicas asociadas, en particular, a leucemias y otras enfermedades que requieren trasplante.</w:t>
      </w:r>
    </w:p>
    <w:p w14:paraId="59697C21" w14:textId="77777777" w:rsidR="00D47E82" w:rsidRDefault="00D47E82">
      <w:pPr>
        <w:jc w:val="both"/>
        <w:rPr>
          <w:rFonts w:ascii="Noto Sans" w:eastAsia="Noto Sans" w:hAnsi="Noto Sans" w:cs="Noto Sans"/>
          <w:sz w:val="20"/>
          <w:szCs w:val="20"/>
        </w:rPr>
      </w:pPr>
    </w:p>
    <w:p w14:paraId="3ECBF38D" w14:textId="77777777" w:rsidR="00D47E82" w:rsidRDefault="00C275D6">
      <w:pPr>
        <w:jc w:val="both"/>
        <w:rPr>
          <w:rFonts w:ascii="Noto Sans" w:eastAsia="Noto Sans" w:hAnsi="Noto Sans" w:cs="Noto Sans"/>
          <w:sz w:val="20"/>
          <w:szCs w:val="20"/>
        </w:rPr>
      </w:pPr>
      <w:r>
        <w:rPr>
          <w:rFonts w:ascii="Noto Sans" w:eastAsia="Noto Sans" w:hAnsi="Noto Sans" w:cs="Noto Sans"/>
          <w:sz w:val="20"/>
          <w:szCs w:val="20"/>
        </w:rPr>
        <w:t xml:space="preserve">Explicó que, en los últimos cinco años, el número de pacientes con indicación de trasplante creció por el incremento de casos de cáncer atendidos y por la propia evolución de los tratamientos. </w:t>
      </w:r>
    </w:p>
    <w:p w14:paraId="314B41D7" w14:textId="77777777" w:rsidR="00D47E82" w:rsidRDefault="00D47E82">
      <w:pPr>
        <w:jc w:val="both"/>
        <w:rPr>
          <w:rFonts w:ascii="Noto Sans" w:eastAsia="Noto Sans" w:hAnsi="Noto Sans" w:cs="Noto Sans"/>
          <w:sz w:val="20"/>
          <w:szCs w:val="20"/>
        </w:rPr>
      </w:pPr>
    </w:p>
    <w:p w14:paraId="2F2991E0" w14:textId="77777777" w:rsidR="00D47E82" w:rsidRDefault="00C275D6">
      <w:pPr>
        <w:jc w:val="both"/>
        <w:rPr>
          <w:rFonts w:ascii="Noto Sans" w:eastAsia="Noto Sans" w:hAnsi="Noto Sans" w:cs="Noto Sans"/>
          <w:sz w:val="20"/>
          <w:szCs w:val="20"/>
        </w:rPr>
      </w:pPr>
      <w:r>
        <w:rPr>
          <w:rFonts w:ascii="Noto Sans" w:eastAsia="Noto Sans" w:hAnsi="Noto Sans" w:cs="Noto Sans"/>
          <w:sz w:val="20"/>
          <w:szCs w:val="20"/>
        </w:rPr>
        <w:t xml:space="preserve">El doctor López Aguilar precisó que hasta 30 por ciento de niñas y niños con leucemia puede presentar recaídas, situación que conduce a la necesidad de un trasplante de médula ósea para incrementar posibilidades de curación. Además, estos procedimientos concentraban su realización en un número limitado de hospitales, lo que condiciona acumulación de casos y traslados. </w:t>
      </w:r>
    </w:p>
    <w:p w14:paraId="68CDFDC3" w14:textId="77777777" w:rsidR="00D47E82" w:rsidRDefault="00D47E82">
      <w:pPr>
        <w:jc w:val="both"/>
        <w:rPr>
          <w:rFonts w:ascii="Noto Sans" w:eastAsia="Noto Sans" w:hAnsi="Noto Sans" w:cs="Noto Sans"/>
          <w:sz w:val="20"/>
          <w:szCs w:val="20"/>
        </w:rPr>
      </w:pPr>
    </w:p>
    <w:p w14:paraId="418D154E" w14:textId="77777777" w:rsidR="00D47E82" w:rsidRDefault="00C275D6">
      <w:pPr>
        <w:jc w:val="both"/>
        <w:rPr>
          <w:rFonts w:ascii="Noto Sans" w:eastAsia="Noto Sans" w:hAnsi="Noto Sans" w:cs="Noto Sans"/>
          <w:sz w:val="20"/>
          <w:szCs w:val="20"/>
        </w:rPr>
      </w:pPr>
      <w:r>
        <w:rPr>
          <w:rFonts w:ascii="Noto Sans" w:eastAsia="Noto Sans" w:hAnsi="Noto Sans" w:cs="Noto Sans"/>
          <w:sz w:val="20"/>
          <w:szCs w:val="20"/>
        </w:rPr>
        <w:t xml:space="preserve">El oncólogo pediatra del Seguro Social dijo que el IMSS prevé que estas nuevas unidades atiendan no sólo a población pediátrica, sino también a adultos, al aprovechar la infraestructura y el personal especializado. </w:t>
      </w:r>
    </w:p>
    <w:p w14:paraId="5C7727A7" w14:textId="77777777" w:rsidR="00D47E82" w:rsidRDefault="00D47E82">
      <w:pPr>
        <w:jc w:val="both"/>
        <w:rPr>
          <w:rFonts w:ascii="Noto Sans" w:eastAsia="Noto Sans" w:hAnsi="Noto Sans" w:cs="Noto Sans"/>
          <w:sz w:val="20"/>
          <w:szCs w:val="20"/>
        </w:rPr>
      </w:pPr>
    </w:p>
    <w:p w14:paraId="62391519" w14:textId="77777777" w:rsidR="00D47E82" w:rsidRDefault="00C275D6">
      <w:pPr>
        <w:jc w:val="both"/>
        <w:rPr>
          <w:rFonts w:ascii="Noto Sans" w:eastAsia="Noto Sans" w:hAnsi="Noto Sans" w:cs="Noto Sans"/>
          <w:sz w:val="20"/>
          <w:szCs w:val="20"/>
        </w:rPr>
      </w:pPr>
      <w:r>
        <w:rPr>
          <w:rFonts w:ascii="Noto Sans" w:eastAsia="Noto Sans" w:hAnsi="Noto Sans" w:cs="Noto Sans"/>
          <w:sz w:val="20"/>
          <w:szCs w:val="20"/>
        </w:rPr>
        <w:t xml:space="preserve">El trasplante de médula ósea se vincula con medicina de precisión, ya que exige terapias dirigidas y moléculas específicas para lograr que los pacientes ingresen a trasplante en condiciones clínicas adecuadas. </w:t>
      </w:r>
    </w:p>
    <w:p w14:paraId="42EB3B58" w14:textId="77777777" w:rsidR="00D47E82" w:rsidRDefault="00D47E82">
      <w:pPr>
        <w:jc w:val="both"/>
        <w:rPr>
          <w:rFonts w:ascii="Noto Sans" w:eastAsia="Noto Sans" w:hAnsi="Noto Sans" w:cs="Noto Sans"/>
          <w:sz w:val="20"/>
          <w:szCs w:val="20"/>
        </w:rPr>
      </w:pPr>
    </w:p>
    <w:p w14:paraId="555081F3" w14:textId="77777777" w:rsidR="00D47E82" w:rsidRDefault="00C275D6">
      <w:pPr>
        <w:jc w:val="both"/>
        <w:rPr>
          <w:rFonts w:ascii="Noto Sans" w:eastAsia="Noto Sans" w:hAnsi="Noto Sans" w:cs="Noto Sans"/>
          <w:sz w:val="20"/>
          <w:szCs w:val="20"/>
        </w:rPr>
      </w:pPr>
      <w:r>
        <w:rPr>
          <w:rFonts w:ascii="Noto Sans" w:eastAsia="Noto Sans" w:hAnsi="Noto Sans" w:cs="Noto Sans"/>
          <w:sz w:val="20"/>
          <w:szCs w:val="20"/>
        </w:rPr>
        <w:t xml:space="preserve">Detalló que el trasplante demanda alta especialización y recursos sostenidos, debido a requerimientos de seguridad hospitalaria y control de infecciones. Cada paciente requiere entre cuatro y seis semanas de ocupación de cama, lo que incrementa la presión sobre la disponibilidad y amplía la acumulación de listas de espera. </w:t>
      </w:r>
    </w:p>
    <w:p w14:paraId="0C961F19" w14:textId="77777777" w:rsidR="00D47E82" w:rsidRDefault="00D47E82">
      <w:pPr>
        <w:jc w:val="both"/>
        <w:rPr>
          <w:rFonts w:ascii="Noto Sans" w:eastAsia="Noto Sans" w:hAnsi="Noto Sans" w:cs="Noto Sans"/>
          <w:sz w:val="20"/>
          <w:szCs w:val="20"/>
        </w:rPr>
      </w:pPr>
    </w:p>
    <w:p w14:paraId="7633B10F" w14:textId="77777777" w:rsidR="00D47E82" w:rsidRDefault="00C275D6">
      <w:pPr>
        <w:jc w:val="both"/>
        <w:rPr>
          <w:rFonts w:ascii="Noto Sans" w:eastAsia="Noto Sans" w:hAnsi="Noto Sans" w:cs="Noto Sans"/>
          <w:sz w:val="20"/>
          <w:szCs w:val="20"/>
        </w:rPr>
      </w:pPr>
      <w:r>
        <w:rPr>
          <w:rFonts w:ascii="Noto Sans" w:eastAsia="Noto Sans" w:hAnsi="Noto Sans" w:cs="Noto Sans"/>
          <w:sz w:val="20"/>
          <w:szCs w:val="20"/>
        </w:rPr>
        <w:t xml:space="preserve">En este sentido, el doctor Enrique López refirió que el fortalecimiento de esta red de trasplantes de médula ósea busca incidir en el segmento de pacientes con peor pronóstico, ya que se reporta una supervivencia de 80 por ciento en cáncer pediátrico y enfoca esta expansión en el 20 por ciento restante que enfrenta mayores desafíos terapéuticos. </w:t>
      </w:r>
    </w:p>
    <w:p w14:paraId="381C8862" w14:textId="77777777" w:rsidR="00D47E82" w:rsidRDefault="00D47E82">
      <w:pPr>
        <w:jc w:val="both"/>
        <w:rPr>
          <w:rFonts w:ascii="Noto Sans" w:eastAsia="Noto Sans" w:hAnsi="Noto Sans" w:cs="Noto Sans"/>
          <w:sz w:val="20"/>
          <w:szCs w:val="20"/>
        </w:rPr>
      </w:pPr>
    </w:p>
    <w:p w14:paraId="39A8DBDD" w14:textId="77777777" w:rsidR="00D47E82" w:rsidRDefault="00C275D6">
      <w:pPr>
        <w:jc w:val="both"/>
        <w:rPr>
          <w:rFonts w:ascii="Noto Sans" w:eastAsia="Noto Sans" w:hAnsi="Noto Sans" w:cs="Noto Sans"/>
          <w:sz w:val="20"/>
          <w:szCs w:val="20"/>
        </w:rPr>
      </w:pPr>
      <w:r>
        <w:rPr>
          <w:rFonts w:ascii="Noto Sans" w:eastAsia="Noto Sans" w:hAnsi="Noto Sans" w:cs="Noto Sans"/>
          <w:sz w:val="20"/>
          <w:szCs w:val="20"/>
        </w:rPr>
        <w:t xml:space="preserve">Mencionó </w:t>
      </w:r>
      <w:proofErr w:type="gramStart"/>
      <w:r>
        <w:rPr>
          <w:rFonts w:ascii="Noto Sans" w:eastAsia="Noto Sans" w:hAnsi="Noto Sans" w:cs="Noto Sans"/>
          <w:sz w:val="20"/>
          <w:szCs w:val="20"/>
        </w:rPr>
        <w:t>que</w:t>
      </w:r>
      <w:proofErr w:type="gramEnd"/>
      <w:r>
        <w:rPr>
          <w:rFonts w:ascii="Noto Sans" w:eastAsia="Noto Sans" w:hAnsi="Noto Sans" w:cs="Noto Sans"/>
          <w:sz w:val="20"/>
          <w:szCs w:val="20"/>
        </w:rPr>
        <w:t xml:space="preserve"> para operar con seguridad, las unidades contarán con cuartos aislados con presión positiva, filtros especiales, áreas controladas con gradientes de acceso (área negra, gris y blanca), Bancos de Sangre con estudios avanzados, mantenimiento continuo y licenciamiento conforme a lineamientos sanitarios. </w:t>
      </w:r>
    </w:p>
    <w:p w14:paraId="1E0772F9" w14:textId="77777777" w:rsidR="00D47E82" w:rsidRDefault="00D47E82">
      <w:pPr>
        <w:jc w:val="both"/>
        <w:rPr>
          <w:rFonts w:ascii="Noto Sans" w:eastAsia="Noto Sans" w:hAnsi="Noto Sans" w:cs="Noto Sans"/>
          <w:sz w:val="20"/>
          <w:szCs w:val="20"/>
        </w:rPr>
      </w:pPr>
    </w:p>
    <w:p w14:paraId="1ED26B16" w14:textId="77777777" w:rsidR="00D47E82" w:rsidRDefault="00C275D6">
      <w:pPr>
        <w:jc w:val="both"/>
        <w:rPr>
          <w:rFonts w:ascii="Noto Sans" w:eastAsia="Noto Sans" w:hAnsi="Noto Sans" w:cs="Noto Sans"/>
          <w:sz w:val="20"/>
          <w:szCs w:val="20"/>
        </w:rPr>
      </w:pPr>
      <w:r>
        <w:rPr>
          <w:rFonts w:ascii="Noto Sans" w:eastAsia="Noto Sans" w:hAnsi="Noto Sans" w:cs="Noto Sans"/>
          <w:sz w:val="20"/>
          <w:szCs w:val="20"/>
        </w:rPr>
        <w:t xml:space="preserve">El titular de la Coordinación de Oncología, Donación y Trasplantes agregó que, en materia de recursos humanos, el Instituto contempla capacitación reforzada y un esquema de acompañamiento clínico inicial. </w:t>
      </w:r>
    </w:p>
    <w:p w14:paraId="0963006A" w14:textId="77777777" w:rsidR="00D47E82" w:rsidRDefault="00D47E82">
      <w:pPr>
        <w:jc w:val="both"/>
        <w:rPr>
          <w:rFonts w:ascii="Noto Sans" w:eastAsia="Noto Sans" w:hAnsi="Noto Sans" w:cs="Noto Sans"/>
          <w:sz w:val="20"/>
          <w:szCs w:val="20"/>
        </w:rPr>
      </w:pPr>
    </w:p>
    <w:p w14:paraId="361398AF" w14:textId="77777777" w:rsidR="00D47E82" w:rsidRDefault="00C275D6">
      <w:pPr>
        <w:jc w:val="both"/>
        <w:rPr>
          <w:rFonts w:ascii="Noto Sans" w:eastAsia="Noto Sans" w:hAnsi="Noto Sans" w:cs="Noto Sans"/>
          <w:sz w:val="20"/>
          <w:szCs w:val="20"/>
        </w:rPr>
      </w:pPr>
      <w:r>
        <w:rPr>
          <w:rFonts w:ascii="Noto Sans" w:eastAsia="Noto Sans" w:hAnsi="Noto Sans" w:cs="Noto Sans"/>
          <w:sz w:val="20"/>
          <w:szCs w:val="20"/>
        </w:rPr>
        <w:t xml:space="preserve">Explicó que realizarán itinerancia los expertos en los primeros procedimientos de las nuevas sedes para supervisar protocolos y asegurar estándares de calidad, a fin de acelerar la curva de aprendizaje, homologar prácticas y consolidar equipos locales con desempeño consistente desde el arranque operativo. </w:t>
      </w:r>
    </w:p>
    <w:p w14:paraId="28D53191" w14:textId="77777777" w:rsidR="00D47E82" w:rsidRDefault="00D47E82">
      <w:pPr>
        <w:jc w:val="both"/>
        <w:rPr>
          <w:rFonts w:ascii="Noto Sans" w:eastAsia="Noto Sans" w:hAnsi="Noto Sans" w:cs="Noto Sans"/>
          <w:sz w:val="20"/>
          <w:szCs w:val="20"/>
        </w:rPr>
      </w:pPr>
    </w:p>
    <w:p w14:paraId="15DB3FCD" w14:textId="77777777" w:rsidR="00D47E82" w:rsidRDefault="00C275D6">
      <w:pPr>
        <w:jc w:val="both"/>
        <w:rPr>
          <w:rFonts w:ascii="Noto Sans" w:eastAsia="Noto Sans" w:hAnsi="Noto Sans" w:cs="Noto Sans"/>
          <w:sz w:val="20"/>
          <w:szCs w:val="20"/>
        </w:rPr>
      </w:pPr>
      <w:r>
        <w:rPr>
          <w:rFonts w:ascii="Noto Sans" w:eastAsia="Noto Sans" w:hAnsi="Noto Sans" w:cs="Noto Sans"/>
          <w:sz w:val="20"/>
          <w:szCs w:val="20"/>
        </w:rPr>
        <w:t xml:space="preserve">“Cuando hablamos de universalización de los servicios de salud, empezar con los niños con cáncer sería algo maravilloso y poder asegurar que todos podrían tener acceso a estas unidades </w:t>
      </w:r>
      <w:proofErr w:type="spellStart"/>
      <w:r>
        <w:rPr>
          <w:rFonts w:ascii="Noto Sans" w:eastAsia="Noto Sans" w:hAnsi="Noto Sans" w:cs="Noto Sans"/>
          <w:sz w:val="20"/>
          <w:szCs w:val="20"/>
        </w:rPr>
        <w:t>OncoCREAN</w:t>
      </w:r>
      <w:proofErr w:type="spellEnd"/>
      <w:r>
        <w:rPr>
          <w:rFonts w:ascii="Noto Sans" w:eastAsia="Noto Sans" w:hAnsi="Noto Sans" w:cs="Noto Sans"/>
          <w:sz w:val="20"/>
          <w:szCs w:val="20"/>
        </w:rPr>
        <w:t>, que sería como un sueño para nosotros, porque no hay niños IMSS o niños no IMSS, hay niños mexicanos”, concretó.</w:t>
      </w:r>
    </w:p>
    <w:p w14:paraId="172B50D3" w14:textId="77777777" w:rsidR="00D47E82" w:rsidRDefault="00D47E82">
      <w:pPr>
        <w:jc w:val="both"/>
        <w:rPr>
          <w:rFonts w:ascii="Noto Sans" w:eastAsia="Noto Sans" w:hAnsi="Noto Sans" w:cs="Noto Sans"/>
          <w:sz w:val="20"/>
          <w:szCs w:val="20"/>
        </w:rPr>
      </w:pPr>
    </w:p>
    <w:p w14:paraId="73C86EB7" w14:textId="77777777" w:rsidR="00D47E82" w:rsidRDefault="00C275D6">
      <w:pPr>
        <w:jc w:val="center"/>
        <w:rPr>
          <w:rFonts w:ascii="Noto Sans" w:eastAsia="Noto Sans" w:hAnsi="Noto Sans" w:cs="Noto Sans"/>
          <w:b/>
          <w:bCs/>
          <w:sz w:val="22"/>
          <w:szCs w:val="22"/>
        </w:rPr>
      </w:pPr>
      <w:r>
        <w:rPr>
          <w:rFonts w:ascii="Noto Sans" w:eastAsia="Noto Sans" w:hAnsi="Noto Sans" w:cs="Noto Sans"/>
          <w:b/>
          <w:bCs/>
          <w:sz w:val="22"/>
          <w:szCs w:val="22"/>
        </w:rPr>
        <w:t xml:space="preserve">---o0o--- </w:t>
      </w:r>
    </w:p>
    <w:p w14:paraId="7E2C0280" w14:textId="77777777" w:rsidR="00C275D6" w:rsidRDefault="00C275D6" w:rsidP="00C275D6">
      <w:pPr>
        <w:jc w:val="both"/>
        <w:rPr>
          <w:rFonts w:ascii="Noto Sans" w:eastAsia="Noto Sans" w:hAnsi="Noto Sans" w:cs="Noto Sans"/>
          <w:b/>
          <w:bCs/>
          <w:sz w:val="22"/>
          <w:szCs w:val="22"/>
        </w:rPr>
      </w:pPr>
    </w:p>
    <w:p w14:paraId="48079AE6" w14:textId="77777777" w:rsidR="00C275D6" w:rsidRDefault="00C275D6" w:rsidP="00C275D6">
      <w:pPr>
        <w:jc w:val="both"/>
        <w:rPr>
          <w:rFonts w:ascii="Noto Sans" w:eastAsia="Noto Sans" w:hAnsi="Noto Sans" w:cs="Noto Sans"/>
          <w:b/>
          <w:bCs/>
          <w:sz w:val="22"/>
          <w:szCs w:val="22"/>
        </w:rPr>
      </w:pPr>
    </w:p>
    <w:p w14:paraId="0FC8E4B7" w14:textId="77777777" w:rsidR="00C275D6" w:rsidRDefault="00C275D6" w:rsidP="00C275D6">
      <w:pPr>
        <w:jc w:val="both"/>
        <w:rPr>
          <w:rFonts w:ascii="Noto Sans" w:eastAsia="Noto Sans" w:hAnsi="Noto Sans" w:cs="Noto Sans"/>
          <w:b/>
          <w:bCs/>
          <w:sz w:val="22"/>
          <w:szCs w:val="22"/>
        </w:rPr>
      </w:pPr>
    </w:p>
    <w:p w14:paraId="45CD481E" w14:textId="66CE34B5" w:rsidR="00C275D6" w:rsidRPr="00C275D6" w:rsidRDefault="00C275D6" w:rsidP="00C275D6">
      <w:pPr>
        <w:jc w:val="both"/>
        <w:rPr>
          <w:rFonts w:ascii="Noto Sans" w:eastAsia="Noto Sans" w:hAnsi="Noto Sans" w:cs="Noto Sans"/>
          <w:b/>
          <w:bCs/>
          <w:sz w:val="22"/>
          <w:szCs w:val="22"/>
        </w:rPr>
      </w:pPr>
      <w:proofErr w:type="gramStart"/>
      <w:r w:rsidRPr="00C275D6">
        <w:rPr>
          <w:rFonts w:ascii="Noto Sans" w:eastAsia="Noto Sans" w:hAnsi="Noto Sans" w:cs="Noto Sans"/>
          <w:b/>
          <w:bCs/>
          <w:sz w:val="22"/>
          <w:szCs w:val="22"/>
        </w:rPr>
        <w:lastRenderedPageBreak/>
        <w:t>LINK</w:t>
      </w:r>
      <w:proofErr w:type="gramEnd"/>
      <w:r w:rsidRPr="00C275D6">
        <w:rPr>
          <w:rFonts w:ascii="Noto Sans" w:eastAsia="Noto Sans" w:hAnsi="Noto Sans" w:cs="Noto Sans"/>
          <w:b/>
          <w:bCs/>
          <w:sz w:val="22"/>
          <w:szCs w:val="22"/>
        </w:rPr>
        <w:t xml:space="preserve"> DE FOTOS:</w:t>
      </w:r>
    </w:p>
    <w:p w14:paraId="6F54914B" w14:textId="3C048F76" w:rsidR="00C275D6" w:rsidRPr="00C275D6" w:rsidRDefault="00C275D6" w:rsidP="00C275D6">
      <w:pPr>
        <w:jc w:val="both"/>
        <w:rPr>
          <w:rFonts w:ascii="Noto Sans" w:eastAsia="Noto Sans" w:hAnsi="Noto Sans" w:cs="Noto Sans"/>
          <w:b/>
          <w:bCs/>
          <w:sz w:val="22"/>
          <w:szCs w:val="22"/>
        </w:rPr>
      </w:pPr>
      <w:hyperlink r:id="rId7" w:history="1">
        <w:r w:rsidRPr="000A50E7">
          <w:rPr>
            <w:rStyle w:val="Hipervnculo"/>
            <w:rFonts w:ascii="Noto Sans" w:eastAsia="Noto Sans" w:hAnsi="Noto Sans" w:cs="Noto Sans"/>
            <w:b/>
            <w:bCs/>
            <w:sz w:val="22"/>
            <w:szCs w:val="22"/>
          </w:rPr>
          <w:t>https://drive.google.com/drive/folders/1It5PwEhQAo9233rwxho58vgIf5AKKAYN?usp=sharing</w:t>
        </w:r>
      </w:hyperlink>
      <w:r>
        <w:rPr>
          <w:rFonts w:ascii="Noto Sans" w:eastAsia="Noto Sans" w:hAnsi="Noto Sans" w:cs="Noto Sans"/>
          <w:b/>
          <w:bCs/>
          <w:sz w:val="22"/>
          <w:szCs w:val="22"/>
        </w:rPr>
        <w:t xml:space="preserve"> </w:t>
      </w:r>
    </w:p>
    <w:p w14:paraId="1A56E7C1" w14:textId="77777777" w:rsidR="00C275D6" w:rsidRPr="00C275D6" w:rsidRDefault="00C275D6" w:rsidP="00C275D6">
      <w:pPr>
        <w:jc w:val="both"/>
        <w:rPr>
          <w:rFonts w:ascii="Noto Sans" w:eastAsia="Noto Sans" w:hAnsi="Noto Sans" w:cs="Noto Sans"/>
          <w:b/>
          <w:bCs/>
          <w:sz w:val="22"/>
          <w:szCs w:val="22"/>
        </w:rPr>
      </w:pPr>
    </w:p>
    <w:p w14:paraId="1305942F" w14:textId="77777777" w:rsidR="00C275D6" w:rsidRPr="00C275D6" w:rsidRDefault="00C275D6" w:rsidP="00C275D6">
      <w:pPr>
        <w:jc w:val="both"/>
        <w:rPr>
          <w:rFonts w:ascii="Noto Sans" w:eastAsia="Noto Sans" w:hAnsi="Noto Sans" w:cs="Noto Sans"/>
          <w:b/>
          <w:bCs/>
          <w:sz w:val="22"/>
          <w:szCs w:val="22"/>
        </w:rPr>
      </w:pPr>
      <w:proofErr w:type="gramStart"/>
      <w:r w:rsidRPr="00C275D6">
        <w:rPr>
          <w:rFonts w:ascii="Noto Sans" w:eastAsia="Noto Sans" w:hAnsi="Noto Sans" w:cs="Noto Sans"/>
          <w:b/>
          <w:bCs/>
          <w:sz w:val="22"/>
          <w:szCs w:val="22"/>
        </w:rPr>
        <w:t>LINK</w:t>
      </w:r>
      <w:proofErr w:type="gramEnd"/>
      <w:r w:rsidRPr="00C275D6">
        <w:rPr>
          <w:rFonts w:ascii="Noto Sans" w:eastAsia="Noto Sans" w:hAnsi="Noto Sans" w:cs="Noto Sans"/>
          <w:b/>
          <w:bCs/>
          <w:sz w:val="22"/>
          <w:szCs w:val="22"/>
        </w:rPr>
        <w:t xml:space="preserve"> DE VIDEO:</w:t>
      </w:r>
    </w:p>
    <w:p w14:paraId="0B6CF6FE" w14:textId="2B9FC3CF" w:rsidR="00C275D6" w:rsidRPr="00C275D6" w:rsidRDefault="00C275D6" w:rsidP="00C275D6">
      <w:pPr>
        <w:jc w:val="both"/>
        <w:rPr>
          <w:rFonts w:ascii="Noto Sans" w:eastAsia="Noto Sans" w:hAnsi="Noto Sans" w:cs="Noto Sans"/>
          <w:b/>
          <w:bCs/>
          <w:sz w:val="22"/>
          <w:szCs w:val="22"/>
        </w:rPr>
      </w:pPr>
      <w:hyperlink r:id="rId8" w:history="1">
        <w:r w:rsidRPr="000A50E7">
          <w:rPr>
            <w:rStyle w:val="Hipervnculo"/>
            <w:rFonts w:ascii="Noto Sans" w:eastAsia="Noto Sans" w:hAnsi="Noto Sans" w:cs="Noto Sans"/>
            <w:b/>
            <w:bCs/>
            <w:sz w:val="22"/>
            <w:szCs w:val="22"/>
          </w:rPr>
          <w:t>https://sendgb.com/Vw8zlYiI5Dk</w:t>
        </w:r>
      </w:hyperlink>
      <w:r>
        <w:rPr>
          <w:rFonts w:ascii="Noto Sans" w:eastAsia="Noto Sans" w:hAnsi="Noto Sans" w:cs="Noto Sans"/>
          <w:b/>
          <w:bCs/>
          <w:sz w:val="22"/>
          <w:szCs w:val="22"/>
        </w:rPr>
        <w:t xml:space="preserve"> </w:t>
      </w:r>
    </w:p>
    <w:sectPr w:rsidR="00C275D6" w:rsidRPr="00C275D6">
      <w:headerReference w:type="default" r:id="rId9"/>
      <w:pgSz w:w="12240" w:h="15840"/>
      <w:pgMar w:top="2342" w:right="1134" w:bottom="1843"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6D08AA" w14:textId="77777777" w:rsidR="009B290E" w:rsidRDefault="009B290E">
      <w:r>
        <w:separator/>
      </w:r>
    </w:p>
  </w:endnote>
  <w:endnote w:type="continuationSeparator" w:id="0">
    <w:p w14:paraId="12E8BC2B" w14:textId="77777777" w:rsidR="009B290E" w:rsidRDefault="009B2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C554598-3669-4EAD-BF30-0EFDDA67F35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E84C36F-128C-47F8-8C5B-827EE9E56A56}"/>
    <w:embedBold r:id="rId3" w:fontKey="{47F7A4C7-2361-4C06-AE27-F4CA0AE8FC0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A0A349F7-C3B0-438B-9A63-5DB7F5F45DC2}"/>
  </w:font>
  <w:font w:name="Noto Sans">
    <w:charset w:val="00"/>
    <w:family w:val="swiss"/>
    <w:pitch w:val="variable"/>
    <w:sig w:usb0="E00082FF" w:usb1="400078FF" w:usb2="00000021" w:usb3="00000000" w:csb0="0000019F" w:csb1="00000000"/>
    <w:embedRegular r:id="rId5" w:fontKey="{0D981F74-6E00-4435-976F-DDBF5E82B9C7}"/>
    <w:embedBold r:id="rId6" w:fontKey="{3662E219-515D-4EA0-B400-E430BAB9666E}"/>
  </w:font>
  <w:font w:name="Geom">
    <w:charset w:val="00"/>
    <w:family w:val="auto"/>
    <w:pitch w:val="default"/>
    <w:embedRegular r:id="rId7" w:fontKey="{57879EA1-0D6E-49FF-960B-A20B3F59726D}"/>
  </w:font>
  <w:font w:name="Cambria">
    <w:panose1 w:val="02040503050406030204"/>
    <w:charset w:val="00"/>
    <w:family w:val="roman"/>
    <w:pitch w:val="variable"/>
    <w:sig w:usb0="E00006FF" w:usb1="420024FF" w:usb2="02000000" w:usb3="00000000" w:csb0="0000019F" w:csb1="00000000"/>
    <w:embedRegular r:id="rId8" w:fontKey="{D5AC26A0-6273-4C91-A9BB-C4FDEC02240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21A552" w14:textId="77777777" w:rsidR="009B290E" w:rsidRDefault="009B290E">
      <w:r>
        <w:separator/>
      </w:r>
    </w:p>
  </w:footnote>
  <w:footnote w:type="continuationSeparator" w:id="0">
    <w:p w14:paraId="40EE361B" w14:textId="77777777" w:rsidR="009B290E" w:rsidRDefault="009B29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1FBDE" w14:textId="77777777" w:rsidR="00D47E82" w:rsidRDefault="00C275D6">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1" locked="0" layoutInCell="1" hidden="0" allowOverlap="1" wp14:anchorId="396A1A6C" wp14:editId="3684759B">
          <wp:simplePos x="0" y="0"/>
          <wp:positionH relativeFrom="column">
            <wp:posOffset>-1080134</wp:posOffset>
          </wp:positionH>
          <wp:positionV relativeFrom="paragraph">
            <wp:posOffset>-441627</wp:posOffset>
          </wp:positionV>
          <wp:extent cx="7825859" cy="10127217"/>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25859" cy="1012721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C62AA5"/>
    <w:multiLevelType w:val="multilevel"/>
    <w:tmpl w:val="67CEDB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880479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E82"/>
    <w:rsid w:val="00270520"/>
    <w:rsid w:val="00716EBC"/>
    <w:rsid w:val="009B290E"/>
    <w:rsid w:val="00C275D6"/>
    <w:rsid w:val="00D47E82"/>
    <w:rsid w:val="00EE391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1AC22"/>
  <w15:docId w15:val="{8D2A6DA8-9758-416B-B0B9-F512528DF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ipervnculo">
    <w:name w:val="Hyperlink"/>
    <w:basedOn w:val="Fuentedeprrafopredeter"/>
    <w:uiPriority w:val="99"/>
    <w:unhideWhenUsed/>
    <w:rsid w:val="00C275D6"/>
    <w:rPr>
      <w:color w:val="0000FF" w:themeColor="hyperlink"/>
      <w:u w:val="single"/>
    </w:rPr>
  </w:style>
  <w:style w:type="character" w:styleId="Mencinsinresolver">
    <w:name w:val="Unresolved Mention"/>
    <w:basedOn w:val="Fuentedeprrafopredeter"/>
    <w:uiPriority w:val="99"/>
    <w:semiHidden/>
    <w:unhideWhenUsed/>
    <w:rsid w:val="00C275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endgb.com/Vw8zlYiI5Dk" TargetMode="External"/><Relationship Id="rId3" Type="http://schemas.openxmlformats.org/officeDocument/2006/relationships/settings" Target="settings.xml"/><Relationship Id="rId7" Type="http://schemas.openxmlformats.org/officeDocument/2006/relationships/hyperlink" Target="https://drive.google.com/drive/folders/1It5PwEhQAo9233rwxho58vgIf5AKKAYN?usp=shari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847</Words>
  <Characters>4664</Characters>
  <Application>Microsoft Office Word</Application>
  <DocSecurity>0</DocSecurity>
  <Lines>38</Lines>
  <Paragraphs>10</Paragraphs>
  <ScaleCrop>false</ScaleCrop>
  <Company/>
  <LinksUpToDate>false</LinksUpToDate>
  <CharactersWithSpaces>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Rogelio Alberto Ruiz Aleman</dc:creator>
  <cp:lastModifiedBy>Luz Maria Rico Jardon</cp:lastModifiedBy>
  <cp:revision>2</cp:revision>
  <dcterms:created xsi:type="dcterms:W3CDTF">2026-02-27T21:09:00Z</dcterms:created>
  <dcterms:modified xsi:type="dcterms:W3CDTF">2026-02-27T21:09:00Z</dcterms:modified>
</cp:coreProperties>
</file>