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D4ED6" w14:textId="77777777" w:rsidR="00303F56" w:rsidRDefault="00303F56" w:rsidP="00303F56">
      <w:pPr>
        <w:jc w:val="both"/>
        <w:rPr>
          <w:rFonts w:ascii="Noto Sans" w:eastAsia="Noto Sans" w:hAnsi="Noto Sans" w:cs="Noto Sans"/>
          <w:sz w:val="19"/>
          <w:szCs w:val="19"/>
        </w:rPr>
      </w:pPr>
      <w:r>
        <w:rPr>
          <w:noProof/>
        </w:rPr>
        <mc:AlternateContent>
          <mc:Choice Requires="wps">
            <w:drawing>
              <wp:anchor distT="0" distB="0" distL="114300" distR="114300" simplePos="0" relativeHeight="251659264" behindDoc="0" locked="0" layoutInCell="1" hidden="0" allowOverlap="1" wp14:anchorId="494B5645" wp14:editId="6A396024">
                <wp:simplePos x="0" y="0"/>
                <wp:positionH relativeFrom="column">
                  <wp:posOffset>2366010</wp:posOffset>
                </wp:positionH>
                <wp:positionV relativeFrom="paragraph">
                  <wp:posOffset>0</wp:posOffset>
                </wp:positionV>
                <wp:extent cx="3845560" cy="895350"/>
                <wp:effectExtent l="0" t="0" r="2540" b="0"/>
                <wp:wrapSquare wrapText="bothSides" distT="0" distB="0" distL="114300" distR="114300"/>
                <wp:docPr id="1" name="Rectángulo 1"/>
                <wp:cNvGraphicFramePr/>
                <a:graphic xmlns:a="http://schemas.openxmlformats.org/drawingml/2006/main">
                  <a:graphicData uri="http://schemas.microsoft.com/office/word/2010/wordprocessingShape">
                    <wps:wsp>
                      <wps:cNvSpPr/>
                      <wps:spPr>
                        <a:xfrm>
                          <a:off x="0" y="0"/>
                          <a:ext cx="3845560" cy="895350"/>
                        </a:xfrm>
                        <a:prstGeom prst="rect">
                          <a:avLst/>
                        </a:prstGeom>
                        <a:noFill/>
                        <a:ln>
                          <a:noFill/>
                        </a:ln>
                      </wps:spPr>
                      <wps:txbx>
                        <w:txbxContent>
                          <w:p w14:paraId="635A2133" w14:textId="77777777" w:rsidR="00303F56" w:rsidRDefault="00303F56" w:rsidP="00303F56">
                            <w:pPr>
                              <w:spacing w:before="120" w:after="40" w:line="219" w:lineRule="auto"/>
                              <w:jc w:val="right"/>
                              <w:textDirection w:val="btLr"/>
                            </w:pPr>
                            <w:r>
                              <w:rPr>
                                <w:rFonts w:ascii="Noto Sans" w:eastAsia="Noto Sans" w:hAnsi="Noto Sans" w:cs="Noto Sans"/>
                                <w:color w:val="BA8C54"/>
                                <w:sz w:val="28"/>
                              </w:rPr>
                              <w:t>BOLETÍN DE PRENSA</w:t>
                            </w:r>
                          </w:p>
                          <w:p w14:paraId="13B890F3" w14:textId="042EA2CA" w:rsidR="00303F56" w:rsidRDefault="00303F56" w:rsidP="00303F56">
                            <w:pPr>
                              <w:spacing w:before="120" w:after="40" w:line="219" w:lineRule="auto"/>
                              <w:jc w:val="right"/>
                              <w:textDirection w:val="btLr"/>
                            </w:pPr>
                            <w:r>
                              <w:rPr>
                                <w:rFonts w:ascii="Noto Sans" w:eastAsia="Noto Sans" w:hAnsi="Noto Sans" w:cs="Noto Sans"/>
                                <w:color w:val="000000"/>
                                <w:sz w:val="20"/>
                              </w:rPr>
                              <w:t xml:space="preserve">Guadalajara, Jalisco, miércoles 25 de febrero de 2026 </w:t>
                            </w:r>
                          </w:p>
                          <w:p w14:paraId="2A9D7193" w14:textId="4CA35DB9" w:rsidR="00303F56" w:rsidRDefault="00303F56" w:rsidP="00303F56">
                            <w:pPr>
                              <w:spacing w:before="120" w:after="40" w:line="219" w:lineRule="auto"/>
                              <w:jc w:val="right"/>
                              <w:textDirection w:val="btLr"/>
                            </w:pPr>
                            <w:r>
                              <w:rPr>
                                <w:rFonts w:ascii="Noto Sans" w:eastAsia="Noto Sans" w:hAnsi="Noto Sans" w:cs="Noto Sans"/>
                                <w:color w:val="000000"/>
                                <w:sz w:val="20"/>
                              </w:rPr>
                              <w:t xml:space="preserve">No. </w:t>
                            </w:r>
                            <w:r w:rsidR="002D55DA">
                              <w:rPr>
                                <w:rFonts w:ascii="Noto Sans" w:eastAsia="Noto Sans" w:hAnsi="Noto Sans" w:cs="Noto Sans"/>
                                <w:color w:val="000000"/>
                                <w:sz w:val="20"/>
                              </w:rPr>
                              <w:t>102</w:t>
                            </w:r>
                            <w:r>
                              <w:rPr>
                                <w:rFonts w:ascii="Noto Sans" w:eastAsia="Noto Sans" w:hAnsi="Noto Sans" w:cs="Noto Sans"/>
                                <w:color w:val="000000"/>
                                <w:sz w:val="20"/>
                              </w:rPr>
                              <w:t>/2026</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494B5645" id="Rectángulo 1" o:spid="_x0000_s1026" style="position:absolute;left:0;text-align:left;margin-left:186.3pt;margin-top:0;width:302.8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" filled="f" stroked="f">
                <v:textbox inset="0,0,0,0">
                  <w:txbxContent>
                    <w:p w14:paraId="635A2133" w14:textId="77777777" w:rsidR="00303F56" w:rsidRDefault="00303F56" w:rsidP="00303F56">
                      <w:pPr>
                        <w:spacing w:before="120" w:after="40" w:line="219" w:lineRule="auto"/>
                        <w:jc w:val="right"/>
                        <w:textDirection w:val="btLr"/>
                      </w:pPr>
                      <w:r>
                        <w:rPr>
                          <w:rFonts w:ascii="Noto Sans" w:eastAsia="Noto Sans" w:hAnsi="Noto Sans" w:cs="Noto Sans"/>
                          <w:color w:val="BA8C54"/>
                          <w:sz w:val="28"/>
                        </w:rPr>
                        <w:t>BOLETÍN DE PRENSA</w:t>
                      </w:r>
                    </w:p>
                    <w:p w14:paraId="13B890F3" w14:textId="042EA2CA" w:rsidR="00303F56" w:rsidRDefault="00303F56" w:rsidP="00303F56">
                      <w:pPr>
                        <w:spacing w:before="120" w:after="40" w:line="219" w:lineRule="auto"/>
                        <w:jc w:val="right"/>
                        <w:textDirection w:val="btLr"/>
                      </w:pPr>
                      <w:r>
                        <w:rPr>
                          <w:rFonts w:ascii="Noto Sans" w:eastAsia="Noto Sans" w:hAnsi="Noto Sans" w:cs="Noto Sans"/>
                          <w:color w:val="000000"/>
                          <w:sz w:val="20"/>
                        </w:rPr>
                        <w:t xml:space="preserve">Guadalajara, Jalisco, miércoles 25 de febrero de 2026 </w:t>
                      </w:r>
                    </w:p>
                    <w:p w14:paraId="2A9D7193" w14:textId="4CA35DB9" w:rsidR="00303F56" w:rsidRDefault="00303F56" w:rsidP="00303F56">
                      <w:pPr>
                        <w:spacing w:before="120" w:after="40" w:line="219" w:lineRule="auto"/>
                        <w:jc w:val="right"/>
                        <w:textDirection w:val="btLr"/>
                      </w:pPr>
                      <w:r>
                        <w:rPr>
                          <w:rFonts w:ascii="Noto Sans" w:eastAsia="Noto Sans" w:hAnsi="Noto Sans" w:cs="Noto Sans"/>
                          <w:color w:val="000000"/>
                          <w:sz w:val="20"/>
                        </w:rPr>
                        <w:t xml:space="preserve">No. </w:t>
                      </w:r>
                      <w:r w:rsidR="002D55DA">
                        <w:rPr>
                          <w:rFonts w:ascii="Noto Sans" w:eastAsia="Noto Sans" w:hAnsi="Noto Sans" w:cs="Noto Sans"/>
                          <w:color w:val="000000"/>
                          <w:sz w:val="20"/>
                        </w:rPr>
                        <w:t>102</w:t>
                      </w:r>
                      <w:r>
                        <w:rPr>
                          <w:rFonts w:ascii="Noto Sans" w:eastAsia="Noto Sans" w:hAnsi="Noto Sans" w:cs="Noto Sans"/>
                          <w:color w:val="000000"/>
                          <w:sz w:val="20"/>
                        </w:rPr>
                        <w:t>/2026</w:t>
                      </w:r>
                    </w:p>
                  </w:txbxContent>
                </v:textbox>
                <w10:wrap type="square"/>
              </v:rect>
            </w:pict>
          </mc:Fallback>
        </mc:AlternateContent>
      </w:r>
      <w:r>
        <w:rPr>
          <w:rFonts w:ascii="Geom" w:eastAsia="Geom" w:hAnsi="Geom" w:cs="Geom"/>
          <w:sz w:val="21"/>
          <w:szCs w:val="21"/>
        </w:rPr>
        <w:t xml:space="preserve"> </w:t>
      </w:r>
    </w:p>
    <w:p w14:paraId="534622B6" w14:textId="77777777" w:rsidR="00303F56" w:rsidRDefault="00303F56" w:rsidP="00303F56">
      <w:pPr>
        <w:jc w:val="both"/>
        <w:rPr>
          <w:rFonts w:ascii="Noto Sans" w:eastAsia="Noto Sans" w:hAnsi="Noto Sans" w:cs="Noto Sans"/>
          <w:sz w:val="19"/>
          <w:szCs w:val="19"/>
        </w:rPr>
      </w:pPr>
    </w:p>
    <w:p w14:paraId="44AE7815" w14:textId="77777777" w:rsidR="00303F56" w:rsidRDefault="00303F56" w:rsidP="00303F56">
      <w:pPr>
        <w:jc w:val="both"/>
        <w:rPr>
          <w:rFonts w:ascii="Noto Sans" w:eastAsia="Noto Sans" w:hAnsi="Noto Sans" w:cs="Noto Sans"/>
          <w:sz w:val="19"/>
          <w:szCs w:val="19"/>
        </w:rPr>
      </w:pPr>
    </w:p>
    <w:p w14:paraId="7441A0E8" w14:textId="77777777" w:rsidR="00303F56" w:rsidRDefault="00303F56" w:rsidP="00303F56">
      <w:pPr>
        <w:jc w:val="center"/>
        <w:rPr>
          <w:rFonts w:ascii="Noto Sans" w:eastAsia="Noto Sans" w:hAnsi="Noto Sans" w:cs="Noto Sans"/>
          <w:b/>
          <w:bCs/>
          <w:sz w:val="32"/>
          <w:szCs w:val="32"/>
        </w:rPr>
      </w:pPr>
    </w:p>
    <w:p w14:paraId="14C6D7F9" w14:textId="77777777" w:rsidR="00303F56" w:rsidRDefault="00303F56" w:rsidP="00303F56">
      <w:pPr>
        <w:ind w:right="49"/>
        <w:jc w:val="center"/>
        <w:rPr>
          <w:rFonts w:ascii="Noto Sans" w:eastAsia="Noto Sans" w:hAnsi="Noto Sans" w:cs="Noto Sans"/>
          <w:b/>
          <w:bCs/>
          <w:sz w:val="32"/>
          <w:szCs w:val="32"/>
        </w:rPr>
      </w:pPr>
    </w:p>
    <w:p w14:paraId="6D41DC5E" w14:textId="77777777" w:rsidR="00303F56" w:rsidRPr="00303F56" w:rsidRDefault="00303F56" w:rsidP="00303F56">
      <w:pPr>
        <w:jc w:val="center"/>
        <w:rPr>
          <w:rFonts w:ascii="Noto Sans" w:eastAsia="Yu Mincho" w:hAnsi="Noto Sans" w:cs="Noto Sans"/>
          <w:b/>
          <w:bCs/>
          <w:sz w:val="28"/>
          <w:szCs w:val="28"/>
        </w:rPr>
      </w:pPr>
      <w:r w:rsidRPr="00303F56">
        <w:rPr>
          <w:rFonts w:ascii="Noto Sans" w:eastAsia="Yu Mincho" w:hAnsi="Noto Sans" w:cs="Noto Sans"/>
          <w:b/>
          <w:bCs/>
          <w:sz w:val="28"/>
          <w:szCs w:val="28"/>
        </w:rPr>
        <w:t xml:space="preserve">Transforma vidas UMAE Hospital de Pediatría en IMSS Jalisco con 70 procedimientos en el Día Internacional del Implante Coclear </w:t>
      </w:r>
    </w:p>
    <w:p w14:paraId="12B00367" w14:textId="77777777" w:rsidR="00303F56" w:rsidRPr="00F17F44" w:rsidRDefault="00303F56" w:rsidP="00303F56">
      <w:pPr>
        <w:jc w:val="center"/>
        <w:rPr>
          <w:rFonts w:ascii="Noto Sans" w:eastAsia="Yu Mincho" w:hAnsi="Noto Sans" w:cs="Noto Sans"/>
          <w:b/>
          <w:bCs/>
          <w:sz w:val="20"/>
          <w:szCs w:val="20"/>
        </w:rPr>
      </w:pPr>
    </w:p>
    <w:p w14:paraId="057F46A3" w14:textId="49F18D30" w:rsidR="00303F56" w:rsidRDefault="00303F56" w:rsidP="00303F56">
      <w:pPr>
        <w:numPr>
          <w:ilvl w:val="0"/>
          <w:numId w:val="2"/>
        </w:numPr>
        <w:spacing w:line="240" w:lineRule="atLeast"/>
        <w:ind w:left="714" w:hanging="357"/>
        <w:jc w:val="both"/>
        <w:rPr>
          <w:rFonts w:ascii="Noto Sans" w:eastAsia="Yu Mincho" w:hAnsi="Noto Sans" w:cs="Noto Sans"/>
          <w:b/>
          <w:bCs/>
          <w:sz w:val="20"/>
          <w:szCs w:val="20"/>
        </w:rPr>
      </w:pPr>
      <w:r w:rsidRPr="009E26AF">
        <w:rPr>
          <w:rFonts w:ascii="Noto Sans" w:eastAsia="Yu Mincho" w:hAnsi="Noto Sans" w:cs="Noto Sans"/>
          <w:b/>
          <w:bCs/>
          <w:sz w:val="20"/>
          <w:szCs w:val="20"/>
        </w:rPr>
        <w:t>Este programa se implementó en 2024</w:t>
      </w:r>
      <w:r>
        <w:rPr>
          <w:rFonts w:ascii="Noto Sans" w:eastAsia="Yu Mincho" w:hAnsi="Noto Sans" w:cs="Noto Sans"/>
          <w:b/>
          <w:bCs/>
          <w:sz w:val="20"/>
          <w:szCs w:val="20"/>
        </w:rPr>
        <w:t>,</w:t>
      </w:r>
      <w:r w:rsidRPr="009E26AF">
        <w:rPr>
          <w:rFonts w:ascii="Noto Sans" w:eastAsia="Yu Mincho" w:hAnsi="Noto Sans" w:cs="Noto Sans"/>
          <w:b/>
          <w:bCs/>
          <w:sz w:val="20"/>
          <w:szCs w:val="20"/>
        </w:rPr>
        <w:t xml:space="preserve"> gracias al impulso del director general del </w:t>
      </w:r>
      <w:r>
        <w:rPr>
          <w:rFonts w:ascii="Noto Sans" w:eastAsia="Yu Mincho" w:hAnsi="Noto Sans" w:cs="Noto Sans"/>
          <w:b/>
          <w:bCs/>
          <w:sz w:val="20"/>
          <w:szCs w:val="20"/>
        </w:rPr>
        <w:t>Instituto</w:t>
      </w:r>
      <w:r w:rsidRPr="009E26AF">
        <w:rPr>
          <w:rFonts w:ascii="Noto Sans" w:eastAsia="Yu Mincho" w:hAnsi="Noto Sans" w:cs="Noto Sans"/>
          <w:b/>
          <w:bCs/>
          <w:sz w:val="20"/>
          <w:szCs w:val="20"/>
        </w:rPr>
        <w:t>, Zoé Robledo.</w:t>
      </w:r>
    </w:p>
    <w:p w14:paraId="02F0E2C0" w14:textId="7D5E3CD5" w:rsidR="00303F56" w:rsidRPr="009E26AF" w:rsidRDefault="00303F56" w:rsidP="00303F56">
      <w:pPr>
        <w:numPr>
          <w:ilvl w:val="0"/>
          <w:numId w:val="2"/>
        </w:numPr>
        <w:spacing w:line="240" w:lineRule="atLeast"/>
        <w:ind w:left="714" w:hanging="357"/>
        <w:jc w:val="both"/>
        <w:rPr>
          <w:rFonts w:ascii="Noto Sans" w:eastAsia="Yu Mincho" w:hAnsi="Noto Sans" w:cs="Noto Sans"/>
          <w:b/>
          <w:bCs/>
          <w:sz w:val="20"/>
          <w:szCs w:val="20"/>
        </w:rPr>
      </w:pPr>
      <w:r w:rsidRPr="00303F56">
        <w:rPr>
          <w:rFonts w:ascii="Noto Sans" w:eastAsia="Yu Mincho" w:hAnsi="Noto Sans" w:cs="Noto Sans"/>
          <w:b/>
          <w:bCs/>
          <w:sz w:val="20"/>
          <w:szCs w:val="20"/>
        </w:rPr>
        <w:t>Ver cómo un paciente escucha por primera vez y contribuir a que desarrolle el lenguaje es una de las mayores satisfacciones para nuestro equipo</w:t>
      </w:r>
      <w:r>
        <w:rPr>
          <w:rFonts w:ascii="Noto Sans" w:eastAsia="Yu Mincho" w:hAnsi="Noto Sans" w:cs="Noto Sans"/>
          <w:b/>
          <w:bCs/>
          <w:sz w:val="20"/>
          <w:szCs w:val="20"/>
        </w:rPr>
        <w:t xml:space="preserve">: doctor </w:t>
      </w:r>
      <w:r w:rsidRPr="00303F56">
        <w:rPr>
          <w:rFonts w:ascii="Noto Sans" w:eastAsia="Yu Mincho" w:hAnsi="Noto Sans" w:cs="Noto Sans"/>
          <w:b/>
          <w:bCs/>
          <w:sz w:val="20"/>
          <w:szCs w:val="20"/>
        </w:rPr>
        <w:t>Carlos Francisco Moreno Valencia</w:t>
      </w:r>
      <w:r>
        <w:rPr>
          <w:rFonts w:ascii="Noto Sans" w:eastAsia="Yu Mincho" w:hAnsi="Noto Sans" w:cs="Noto Sans"/>
          <w:b/>
          <w:bCs/>
          <w:sz w:val="20"/>
          <w:szCs w:val="20"/>
        </w:rPr>
        <w:t>.</w:t>
      </w:r>
    </w:p>
    <w:p w14:paraId="7EC581E0" w14:textId="77777777" w:rsidR="00303F56" w:rsidRPr="00A33610" w:rsidRDefault="00303F56" w:rsidP="00303F56">
      <w:pPr>
        <w:spacing w:line="276" w:lineRule="auto"/>
        <w:jc w:val="both"/>
        <w:rPr>
          <w:rFonts w:ascii="Noto Sans" w:eastAsia="Yu Mincho" w:hAnsi="Noto Sans" w:cs="Noto Sans"/>
          <w:sz w:val="20"/>
          <w:szCs w:val="20"/>
        </w:rPr>
      </w:pPr>
    </w:p>
    <w:p w14:paraId="7A146416" w14:textId="77777777" w:rsidR="00303F56" w:rsidRPr="00303F56" w:rsidRDefault="00303F56" w:rsidP="00303F56">
      <w:pPr>
        <w:spacing w:line="240" w:lineRule="atLeast"/>
        <w:jc w:val="both"/>
        <w:rPr>
          <w:rFonts w:ascii="Noto Sans" w:eastAsia="Yu Mincho" w:hAnsi="Noto Sans" w:cs="Noto Sans"/>
          <w:sz w:val="22"/>
          <w:szCs w:val="22"/>
        </w:rPr>
      </w:pPr>
      <w:r w:rsidRPr="00303F56">
        <w:rPr>
          <w:rFonts w:ascii="Noto Sans" w:eastAsia="Yu Mincho" w:hAnsi="Noto Sans" w:cs="Noto Sans"/>
          <w:sz w:val="22"/>
          <w:szCs w:val="22"/>
        </w:rPr>
        <w:t>En el marco del Día Internacional del Implante Coclear, que se conmemora hoy 25 de febrero, la Unidad Médica de Alta Especialidad (UMAE) Hospital de Pediatría, Centro Médico Nacional de Occidente, del Instituto Mexicano del Seguro Social (IMSS) en Jalisco, ha realizado 70 implantes cocleares desde el inicio del programa, en beneficio de niñas y niños provenientes de distintas entidades del país.</w:t>
      </w:r>
    </w:p>
    <w:p w14:paraId="7B50879D" w14:textId="77777777" w:rsidR="00303F56" w:rsidRPr="00303F56" w:rsidRDefault="00303F56" w:rsidP="00303F56">
      <w:pPr>
        <w:spacing w:line="240" w:lineRule="atLeast"/>
        <w:jc w:val="both"/>
        <w:rPr>
          <w:rFonts w:ascii="Noto Sans" w:eastAsia="Yu Mincho" w:hAnsi="Noto Sans" w:cs="Noto Sans"/>
          <w:sz w:val="22"/>
          <w:szCs w:val="22"/>
        </w:rPr>
      </w:pPr>
    </w:p>
    <w:p w14:paraId="5B6F9A54" w14:textId="1DF10063" w:rsidR="00303F56" w:rsidRPr="00303F56" w:rsidRDefault="00303F56" w:rsidP="00303F56">
      <w:pPr>
        <w:spacing w:line="240" w:lineRule="atLeast"/>
        <w:jc w:val="both"/>
        <w:rPr>
          <w:rFonts w:ascii="Noto Sans" w:eastAsia="Yu Mincho" w:hAnsi="Noto Sans" w:cs="Noto Sans"/>
          <w:sz w:val="22"/>
          <w:szCs w:val="22"/>
        </w:rPr>
      </w:pPr>
      <w:r w:rsidRPr="00303F56">
        <w:rPr>
          <w:rFonts w:ascii="Noto Sans" w:eastAsia="Yu Mincho" w:hAnsi="Noto Sans" w:cs="Noto Sans"/>
          <w:sz w:val="22"/>
          <w:szCs w:val="22"/>
        </w:rPr>
        <w:t xml:space="preserve">El director de la UMAE, doctor Carlos Francisco Moreno Valencia, señaló que este programa se implementó en 2024 gracias al impulso del director general del IMSS, maestro Zoé Robledo, para impactar de manera positiva en la calidad de vida de la población pediátrica. </w:t>
      </w:r>
    </w:p>
    <w:p w14:paraId="638071F0" w14:textId="77777777" w:rsidR="00303F56" w:rsidRPr="00303F56" w:rsidRDefault="00303F56" w:rsidP="00303F56">
      <w:pPr>
        <w:spacing w:line="240" w:lineRule="atLeast"/>
        <w:jc w:val="both"/>
        <w:rPr>
          <w:rFonts w:ascii="Noto Sans" w:eastAsia="Yu Mincho" w:hAnsi="Noto Sans" w:cs="Noto Sans"/>
          <w:sz w:val="22"/>
          <w:szCs w:val="22"/>
        </w:rPr>
      </w:pPr>
    </w:p>
    <w:p w14:paraId="0B3EBF44" w14:textId="77777777" w:rsidR="00303F56" w:rsidRPr="00303F56" w:rsidRDefault="00303F56" w:rsidP="00303F56">
      <w:pPr>
        <w:spacing w:line="240" w:lineRule="atLeast"/>
        <w:jc w:val="both"/>
        <w:rPr>
          <w:rFonts w:ascii="Noto Sans" w:eastAsia="Yu Mincho" w:hAnsi="Noto Sans" w:cs="Noto Sans"/>
          <w:sz w:val="22"/>
          <w:szCs w:val="22"/>
        </w:rPr>
      </w:pPr>
      <w:r w:rsidRPr="00303F56">
        <w:rPr>
          <w:rFonts w:ascii="Noto Sans" w:eastAsia="Yu Mincho" w:hAnsi="Noto Sans" w:cs="Noto Sans"/>
          <w:sz w:val="22"/>
          <w:szCs w:val="22"/>
        </w:rPr>
        <w:t>Destacó que muchos de los pacientes intervenidos son diagnosticados con hipoacusia neurosensorial bilateral, condición que limita significativamente el desarrollo y la integración social si no se atiende de manera oportuna.</w:t>
      </w:r>
    </w:p>
    <w:p w14:paraId="006102F0" w14:textId="77777777" w:rsidR="00303F56" w:rsidRPr="00303F56" w:rsidRDefault="00303F56" w:rsidP="00303F56">
      <w:pPr>
        <w:spacing w:line="240" w:lineRule="atLeast"/>
        <w:jc w:val="both"/>
        <w:rPr>
          <w:rFonts w:ascii="Noto Sans" w:eastAsia="Yu Mincho" w:hAnsi="Noto Sans" w:cs="Noto Sans"/>
          <w:sz w:val="22"/>
          <w:szCs w:val="22"/>
        </w:rPr>
      </w:pPr>
    </w:p>
    <w:p w14:paraId="519FF3D4" w14:textId="0C135A75" w:rsidR="00303F56" w:rsidRPr="00303F56" w:rsidRDefault="00303F56" w:rsidP="00303F56">
      <w:pPr>
        <w:spacing w:line="240" w:lineRule="atLeast"/>
        <w:jc w:val="both"/>
        <w:rPr>
          <w:rFonts w:ascii="Noto Sans" w:eastAsia="Yu Mincho" w:hAnsi="Noto Sans" w:cs="Noto Sans"/>
          <w:sz w:val="22"/>
          <w:szCs w:val="22"/>
        </w:rPr>
      </w:pPr>
      <w:r w:rsidRPr="00303F56">
        <w:rPr>
          <w:rFonts w:ascii="Noto Sans" w:eastAsia="Yu Mincho" w:hAnsi="Noto Sans" w:cs="Noto Sans"/>
          <w:sz w:val="22"/>
          <w:szCs w:val="22"/>
        </w:rPr>
        <w:t xml:space="preserve">Indicó que los pacientes son originarios de diferentes estados del como país como Jalisco, Tabasco, Baja California, Querétaro y Coahuila, entre otros, lo que ha convertido a la UMAE en Centro de Referencia Nacional. </w:t>
      </w:r>
    </w:p>
    <w:p w14:paraId="0059FE96" w14:textId="77777777" w:rsidR="00303F56" w:rsidRPr="00303F56" w:rsidRDefault="00303F56" w:rsidP="00303F56">
      <w:pPr>
        <w:spacing w:line="240" w:lineRule="atLeast"/>
        <w:jc w:val="both"/>
        <w:rPr>
          <w:rFonts w:ascii="Noto Sans" w:eastAsia="Yu Mincho" w:hAnsi="Noto Sans" w:cs="Noto Sans"/>
          <w:sz w:val="22"/>
          <w:szCs w:val="22"/>
        </w:rPr>
      </w:pPr>
    </w:p>
    <w:p w14:paraId="1788698E" w14:textId="77777777" w:rsidR="00303F56" w:rsidRPr="00303F56" w:rsidRDefault="00303F56" w:rsidP="00303F56">
      <w:pPr>
        <w:spacing w:line="240" w:lineRule="atLeast"/>
        <w:jc w:val="both"/>
        <w:rPr>
          <w:rFonts w:ascii="Noto Sans" w:eastAsia="Yu Mincho" w:hAnsi="Noto Sans" w:cs="Noto Sans"/>
          <w:sz w:val="22"/>
          <w:szCs w:val="22"/>
        </w:rPr>
      </w:pPr>
      <w:r w:rsidRPr="00303F56">
        <w:rPr>
          <w:rFonts w:ascii="Noto Sans" w:eastAsia="Yu Mincho" w:hAnsi="Noto Sans" w:cs="Noto Sans"/>
          <w:sz w:val="22"/>
          <w:szCs w:val="22"/>
        </w:rPr>
        <w:t xml:space="preserve">“El implante coclear es un dispositivo electrónico que estimula directamente el nervio auditivo, permitiendo que el cerebro procese los sonidos. Este procedimiento puede realizarse desde los 6 meses de edad, lo que favorece un mejor pronóstico en el desarrollo del lenguaje para nuestras niñas y niños desde etapas muy tempranas”, aseveró. </w:t>
      </w:r>
    </w:p>
    <w:p w14:paraId="674634BE" w14:textId="77777777" w:rsidR="00303F56" w:rsidRPr="00303F56" w:rsidRDefault="00303F56" w:rsidP="00303F56">
      <w:pPr>
        <w:spacing w:line="240" w:lineRule="atLeast"/>
        <w:jc w:val="both"/>
        <w:rPr>
          <w:rFonts w:ascii="Noto Sans" w:eastAsia="Yu Mincho" w:hAnsi="Noto Sans" w:cs="Noto Sans"/>
          <w:sz w:val="22"/>
          <w:szCs w:val="22"/>
        </w:rPr>
      </w:pPr>
    </w:p>
    <w:p w14:paraId="0B624229" w14:textId="77777777" w:rsidR="00303F56" w:rsidRPr="00303F56" w:rsidRDefault="00303F56" w:rsidP="00303F56">
      <w:pPr>
        <w:spacing w:line="240" w:lineRule="atLeast"/>
        <w:jc w:val="both"/>
        <w:rPr>
          <w:rFonts w:ascii="Noto Sans" w:eastAsia="Yu Mincho" w:hAnsi="Noto Sans" w:cs="Noto Sans"/>
          <w:sz w:val="22"/>
          <w:szCs w:val="22"/>
        </w:rPr>
      </w:pPr>
      <w:r w:rsidRPr="00303F56">
        <w:rPr>
          <w:rFonts w:ascii="Noto Sans" w:eastAsia="Yu Mincho" w:hAnsi="Noto Sans" w:cs="Noto Sans"/>
          <w:sz w:val="22"/>
          <w:szCs w:val="22"/>
        </w:rPr>
        <w:t xml:space="preserve">Enfatizó que las intervenciones quirúrgicas han sido posibles gracias al trabajo coordinado de un equipo interdisciplinario integrado por los servicios pediátricos de Audiología, </w:t>
      </w:r>
      <w:r w:rsidRPr="00303F56">
        <w:rPr>
          <w:rFonts w:ascii="Noto Sans" w:eastAsia="Yu Mincho" w:hAnsi="Noto Sans" w:cs="Noto Sans"/>
          <w:sz w:val="22"/>
          <w:szCs w:val="22"/>
        </w:rPr>
        <w:lastRenderedPageBreak/>
        <w:t>Otorrinolaringología, Medicina Física y Rehabilitación, Neurología, Genética Médica y Anestesiología, lo que garantiza atención integral antes, durante y después del procedimiento.</w:t>
      </w:r>
    </w:p>
    <w:p w14:paraId="5390E27B" w14:textId="77777777" w:rsidR="00303F56" w:rsidRPr="00303F56" w:rsidRDefault="00303F56" w:rsidP="00303F56">
      <w:pPr>
        <w:spacing w:line="240" w:lineRule="atLeast"/>
        <w:jc w:val="both"/>
        <w:rPr>
          <w:rFonts w:ascii="Noto Sans" w:eastAsia="Yu Mincho" w:hAnsi="Noto Sans" w:cs="Noto Sans"/>
          <w:sz w:val="22"/>
          <w:szCs w:val="22"/>
        </w:rPr>
      </w:pPr>
    </w:p>
    <w:p w14:paraId="784D5C60" w14:textId="77777777" w:rsidR="00303F56" w:rsidRPr="00303F56" w:rsidRDefault="00303F56" w:rsidP="00303F56">
      <w:pPr>
        <w:spacing w:line="240" w:lineRule="atLeast"/>
        <w:jc w:val="both"/>
        <w:rPr>
          <w:rFonts w:ascii="Noto Sans" w:eastAsia="Yu Mincho" w:hAnsi="Noto Sans" w:cs="Noto Sans"/>
          <w:sz w:val="22"/>
          <w:szCs w:val="22"/>
        </w:rPr>
      </w:pPr>
      <w:r w:rsidRPr="00303F56">
        <w:rPr>
          <w:rFonts w:ascii="Noto Sans" w:eastAsia="Yu Mincho" w:hAnsi="Noto Sans" w:cs="Noto Sans"/>
          <w:sz w:val="22"/>
          <w:szCs w:val="22"/>
        </w:rPr>
        <w:t xml:space="preserve">Por su parte, la especialista en Audiología y Otoneurología del Hospital de Pediatría, doctora Cynthia Rosalía Cárdenas Contreras, destacó que estos implantes permiten que las y los pacientes se integren a una vida plena, con mayores oportunidades de desarrollo personal, académico, familiar y, en el futuro, laboral. </w:t>
      </w:r>
    </w:p>
    <w:p w14:paraId="4ADDCAF5" w14:textId="77777777" w:rsidR="00303F56" w:rsidRPr="00303F56" w:rsidRDefault="00303F56" w:rsidP="00303F56">
      <w:pPr>
        <w:spacing w:line="240" w:lineRule="atLeast"/>
        <w:jc w:val="both"/>
        <w:rPr>
          <w:rFonts w:ascii="Noto Sans" w:eastAsia="Yu Mincho" w:hAnsi="Noto Sans" w:cs="Noto Sans"/>
          <w:sz w:val="22"/>
          <w:szCs w:val="22"/>
        </w:rPr>
      </w:pPr>
    </w:p>
    <w:p w14:paraId="39BFEB0D" w14:textId="77777777" w:rsidR="00303F56" w:rsidRPr="00303F56" w:rsidRDefault="00303F56" w:rsidP="00303F56">
      <w:pPr>
        <w:spacing w:line="240" w:lineRule="atLeast"/>
        <w:jc w:val="both"/>
        <w:rPr>
          <w:rFonts w:ascii="Noto Sans" w:eastAsia="Yu Mincho" w:hAnsi="Noto Sans" w:cs="Noto Sans"/>
          <w:sz w:val="22"/>
          <w:szCs w:val="22"/>
        </w:rPr>
      </w:pPr>
      <w:r w:rsidRPr="00303F56">
        <w:rPr>
          <w:rFonts w:ascii="Noto Sans" w:eastAsia="Yu Mincho" w:hAnsi="Noto Sans" w:cs="Noto Sans"/>
          <w:sz w:val="22"/>
          <w:szCs w:val="22"/>
        </w:rPr>
        <w:t>“Ver cómo un paciente escucha por primera vez y contribuir a que desarrolle el lenguaje es una de las mayores satisfacciones para nuestro equipo”, expresó.</w:t>
      </w:r>
    </w:p>
    <w:p w14:paraId="7E60ABD6" w14:textId="77777777" w:rsidR="00303F56" w:rsidRPr="00303F56" w:rsidRDefault="00303F56" w:rsidP="00303F56">
      <w:pPr>
        <w:spacing w:line="240" w:lineRule="atLeast"/>
        <w:jc w:val="both"/>
        <w:rPr>
          <w:rFonts w:ascii="Noto Sans" w:eastAsia="Yu Mincho" w:hAnsi="Noto Sans" w:cs="Noto Sans"/>
          <w:sz w:val="22"/>
          <w:szCs w:val="22"/>
        </w:rPr>
      </w:pPr>
    </w:p>
    <w:p w14:paraId="5DAD24BB" w14:textId="5E179665" w:rsidR="00303F56" w:rsidRDefault="00303F56" w:rsidP="00303F56">
      <w:pPr>
        <w:spacing w:line="240" w:lineRule="atLeast"/>
        <w:jc w:val="center"/>
        <w:rPr>
          <w:rFonts w:ascii="Noto Sans" w:eastAsia="Yu Mincho" w:hAnsi="Noto Sans" w:cs="Noto Sans"/>
          <w:b/>
          <w:bCs/>
          <w:sz w:val="22"/>
          <w:szCs w:val="22"/>
        </w:rPr>
      </w:pPr>
      <w:r w:rsidRPr="00303F56">
        <w:rPr>
          <w:rFonts w:ascii="Noto Sans" w:eastAsia="Yu Mincho" w:hAnsi="Noto Sans" w:cs="Noto Sans"/>
          <w:b/>
          <w:bCs/>
          <w:sz w:val="22"/>
          <w:szCs w:val="22"/>
        </w:rPr>
        <w:t>---o0o---</w:t>
      </w:r>
    </w:p>
    <w:p w14:paraId="39C46B24" w14:textId="77777777" w:rsidR="002D55DA" w:rsidRDefault="002D55DA" w:rsidP="00303F56">
      <w:pPr>
        <w:spacing w:line="240" w:lineRule="atLeast"/>
        <w:jc w:val="center"/>
        <w:rPr>
          <w:rFonts w:ascii="Noto Sans" w:eastAsia="Yu Mincho" w:hAnsi="Noto Sans" w:cs="Noto Sans"/>
          <w:b/>
          <w:bCs/>
          <w:sz w:val="22"/>
          <w:szCs w:val="22"/>
        </w:rPr>
      </w:pPr>
    </w:p>
    <w:p w14:paraId="20B8BBC2" w14:textId="77777777" w:rsidR="002D55DA" w:rsidRPr="002D55DA" w:rsidRDefault="002D55DA" w:rsidP="002D55DA">
      <w:pPr>
        <w:spacing w:line="240" w:lineRule="atLeast"/>
        <w:jc w:val="both"/>
        <w:rPr>
          <w:rFonts w:ascii="Noto Sans" w:eastAsia="Yu Mincho" w:hAnsi="Noto Sans" w:cs="Noto Sans"/>
          <w:b/>
          <w:bCs/>
          <w:sz w:val="22"/>
          <w:szCs w:val="22"/>
          <w:lang w:val="en-US"/>
        </w:rPr>
      </w:pPr>
      <w:r w:rsidRPr="002D55DA">
        <w:rPr>
          <w:rFonts w:ascii="Noto Sans" w:eastAsia="Yu Mincho" w:hAnsi="Noto Sans" w:cs="Noto Sans"/>
          <w:b/>
          <w:bCs/>
          <w:sz w:val="22"/>
          <w:szCs w:val="22"/>
          <w:lang w:val="en-US"/>
        </w:rPr>
        <w:t>LINK FOTOS</w:t>
      </w:r>
    </w:p>
    <w:p w14:paraId="6A07BF97" w14:textId="5CD85BF5" w:rsidR="002D55DA" w:rsidRPr="002D55DA" w:rsidRDefault="002D55DA" w:rsidP="002D55DA">
      <w:pPr>
        <w:spacing w:line="240" w:lineRule="atLeast"/>
        <w:jc w:val="both"/>
        <w:rPr>
          <w:rFonts w:ascii="Noto Sans" w:eastAsia="Yu Mincho" w:hAnsi="Noto Sans" w:cs="Noto Sans"/>
          <w:b/>
          <w:bCs/>
          <w:sz w:val="22"/>
          <w:szCs w:val="22"/>
          <w:lang w:val="en-US"/>
        </w:rPr>
      </w:pPr>
      <w:hyperlink r:id="rId7" w:history="1">
        <w:r w:rsidRPr="005572DA">
          <w:rPr>
            <w:rStyle w:val="Hipervnculo"/>
            <w:rFonts w:ascii="Noto Sans" w:eastAsia="Yu Mincho" w:hAnsi="Noto Sans" w:cs="Noto Sans"/>
            <w:b/>
            <w:bCs/>
            <w:sz w:val="22"/>
            <w:szCs w:val="22"/>
            <w:lang w:val="en-US"/>
          </w:rPr>
          <w:t>https://drive.google.com/drive/folders/1fQCsULja_9OqJOs0TBS-9dJEWd1SGD4U?usp=sharing</w:t>
        </w:r>
      </w:hyperlink>
      <w:r>
        <w:rPr>
          <w:rFonts w:ascii="Noto Sans" w:eastAsia="Yu Mincho" w:hAnsi="Noto Sans" w:cs="Noto Sans"/>
          <w:b/>
          <w:bCs/>
          <w:sz w:val="22"/>
          <w:szCs w:val="22"/>
          <w:lang w:val="en-US"/>
        </w:rPr>
        <w:t xml:space="preserve"> </w:t>
      </w:r>
    </w:p>
    <w:p w14:paraId="464DF3F3" w14:textId="77777777" w:rsidR="002D55DA" w:rsidRPr="002D55DA" w:rsidRDefault="002D55DA" w:rsidP="002D55DA">
      <w:pPr>
        <w:spacing w:line="240" w:lineRule="atLeast"/>
        <w:jc w:val="both"/>
        <w:rPr>
          <w:rFonts w:ascii="Noto Sans" w:eastAsia="Yu Mincho" w:hAnsi="Noto Sans" w:cs="Noto Sans"/>
          <w:b/>
          <w:bCs/>
          <w:sz w:val="22"/>
          <w:szCs w:val="22"/>
          <w:lang w:val="en-US"/>
        </w:rPr>
      </w:pPr>
    </w:p>
    <w:p w14:paraId="379480ED" w14:textId="77777777" w:rsidR="002D55DA" w:rsidRPr="002D55DA" w:rsidRDefault="002D55DA" w:rsidP="002D55DA">
      <w:pPr>
        <w:spacing w:line="240" w:lineRule="atLeast"/>
        <w:jc w:val="both"/>
        <w:rPr>
          <w:rFonts w:ascii="Noto Sans" w:eastAsia="Yu Mincho" w:hAnsi="Noto Sans" w:cs="Noto Sans"/>
          <w:b/>
          <w:bCs/>
          <w:sz w:val="22"/>
          <w:szCs w:val="22"/>
          <w:lang w:val="en-US"/>
        </w:rPr>
      </w:pPr>
      <w:r w:rsidRPr="002D55DA">
        <w:rPr>
          <w:rFonts w:ascii="Noto Sans" w:eastAsia="Yu Mincho" w:hAnsi="Noto Sans" w:cs="Noto Sans"/>
          <w:b/>
          <w:bCs/>
          <w:sz w:val="22"/>
          <w:szCs w:val="22"/>
          <w:lang w:val="en-US"/>
        </w:rPr>
        <w:t>LINK VIDEO</w:t>
      </w:r>
    </w:p>
    <w:p w14:paraId="589A9949" w14:textId="1CE647C8" w:rsidR="002D55DA" w:rsidRPr="002D55DA" w:rsidRDefault="002D55DA" w:rsidP="002D55DA">
      <w:pPr>
        <w:spacing w:line="240" w:lineRule="atLeast"/>
        <w:jc w:val="both"/>
        <w:rPr>
          <w:rFonts w:ascii="Noto Sans" w:eastAsia="Yu Mincho" w:hAnsi="Noto Sans" w:cs="Noto Sans"/>
          <w:b/>
          <w:bCs/>
          <w:sz w:val="22"/>
          <w:szCs w:val="22"/>
          <w:lang w:val="en-US"/>
        </w:rPr>
      </w:pPr>
      <w:hyperlink r:id="rId8" w:history="1">
        <w:r w:rsidRPr="005572DA">
          <w:rPr>
            <w:rStyle w:val="Hipervnculo"/>
            <w:rFonts w:ascii="Noto Sans" w:eastAsia="Yu Mincho" w:hAnsi="Noto Sans" w:cs="Noto Sans"/>
            <w:b/>
            <w:bCs/>
            <w:sz w:val="22"/>
            <w:szCs w:val="22"/>
            <w:lang w:val="en-US"/>
          </w:rPr>
          <w:t>https://sendgb.com/CniGdfluNXP</w:t>
        </w:r>
      </w:hyperlink>
      <w:r>
        <w:rPr>
          <w:rFonts w:ascii="Noto Sans" w:eastAsia="Yu Mincho" w:hAnsi="Noto Sans" w:cs="Noto Sans"/>
          <w:b/>
          <w:bCs/>
          <w:sz w:val="22"/>
          <w:szCs w:val="22"/>
          <w:lang w:val="en-US"/>
        </w:rPr>
        <w:t xml:space="preserve"> </w:t>
      </w:r>
    </w:p>
    <w:sectPr w:rsidR="002D55DA" w:rsidRPr="002D55DA" w:rsidSect="00303F56">
      <w:headerReference w:type="default" r:id="rId9"/>
      <w:pgSz w:w="12240" w:h="15840"/>
      <w:pgMar w:top="2342" w:right="1134" w:bottom="1702"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16B18" w14:textId="77777777" w:rsidR="002D55DA" w:rsidRDefault="002D55DA">
      <w:r>
        <w:separator/>
      </w:r>
    </w:p>
  </w:endnote>
  <w:endnote w:type="continuationSeparator" w:id="0">
    <w:p w14:paraId="221996B7" w14:textId="77777777" w:rsidR="002D55DA" w:rsidRDefault="002D5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Noto Sans">
    <w:altName w:val="Nirmala UI"/>
    <w:charset w:val="00"/>
    <w:family w:val="swiss"/>
    <w:pitch w:val="variable"/>
    <w:sig w:usb0="E00082FF" w:usb1="400078FF" w:usb2="00000021" w:usb3="00000000" w:csb0="0000019F" w:csb1="00000000"/>
  </w:font>
  <w:font w:name="Geom">
    <w:altName w:val="Calibri"/>
    <w:charset w:val="00"/>
    <w:family w:val="auto"/>
    <w:pitch w:val="default"/>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8BF67" w14:textId="77777777" w:rsidR="002D55DA" w:rsidRDefault="002D55DA">
      <w:r>
        <w:separator/>
      </w:r>
    </w:p>
  </w:footnote>
  <w:footnote w:type="continuationSeparator" w:id="0">
    <w:p w14:paraId="20676DFF" w14:textId="77777777" w:rsidR="002D55DA" w:rsidRDefault="002D5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A456E" w14:textId="77777777" w:rsidR="00303F56" w:rsidRDefault="00303F56">
    <w:pPr>
      <w:pBdr>
        <w:top w:val="nil"/>
        <w:left w:val="nil"/>
        <w:bottom w:val="nil"/>
        <w:right w:val="nil"/>
        <w:between w:val="nil"/>
      </w:pBdr>
      <w:tabs>
        <w:tab w:val="center" w:pos="4419"/>
        <w:tab w:val="right" w:pos="8838"/>
      </w:tabs>
      <w:rPr>
        <w:color w:val="000000"/>
      </w:rPr>
    </w:pPr>
    <w:r>
      <w:rPr>
        <w:noProof/>
      </w:rPr>
      <w:drawing>
        <wp:anchor distT="0" distB="0" distL="0" distR="0" simplePos="0" relativeHeight="251659264" behindDoc="1" locked="0" layoutInCell="1" hidden="0" allowOverlap="1" wp14:anchorId="6C117669" wp14:editId="74F88537">
          <wp:simplePos x="0" y="0"/>
          <wp:positionH relativeFrom="column">
            <wp:posOffset>-765809</wp:posOffset>
          </wp:positionH>
          <wp:positionV relativeFrom="paragraph">
            <wp:posOffset>-441324</wp:posOffset>
          </wp:positionV>
          <wp:extent cx="7800230" cy="10094052"/>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0230" cy="10094052"/>
                  </a:xfrm>
                  <a:prstGeom prst="rect">
                    <a:avLst/>
                  </a:prstGeom>
                  <a:ln/>
                </pic:spPr>
              </pic:pic>
            </a:graphicData>
          </a:graphic>
        </wp:anchor>
      </w:drawing>
    </w:r>
  </w:p>
  <w:p w14:paraId="0EB66C93" w14:textId="77777777" w:rsidR="00303F56" w:rsidRDefault="00303F56">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02B67"/>
    <w:multiLevelType w:val="hybridMultilevel"/>
    <w:tmpl w:val="5BD217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35CD3155"/>
    <w:multiLevelType w:val="multilevel"/>
    <w:tmpl w:val="8F66E1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97231805">
    <w:abstractNumId w:val="1"/>
  </w:num>
  <w:num w:numId="2" w16cid:durableId="667294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56"/>
    <w:rsid w:val="002D55DA"/>
    <w:rsid w:val="00303F56"/>
    <w:rsid w:val="006D6B4B"/>
    <w:rsid w:val="00B80C8F"/>
    <w:rsid w:val="00BE776D"/>
    <w:rsid w:val="00D454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192CD"/>
  <w15:chartTrackingRefBased/>
  <w15:docId w15:val="{16DD4874-1493-44E9-A655-E014FA130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F56"/>
    <w:pPr>
      <w:spacing w:after="0" w:line="240" w:lineRule="auto"/>
    </w:pPr>
    <w:rPr>
      <w:rFonts w:ascii="Calibri" w:eastAsia="Calibri" w:hAnsi="Calibri" w:cs="Calibri"/>
      <w:kern w:val="0"/>
      <w:lang w:val="es" w:eastAsia="es-MX"/>
      <w14:ligatures w14:val="none"/>
    </w:rPr>
  </w:style>
  <w:style w:type="paragraph" w:styleId="Ttulo1">
    <w:name w:val="heading 1"/>
    <w:basedOn w:val="Normal"/>
    <w:next w:val="Normal"/>
    <w:link w:val="Ttulo1Car"/>
    <w:uiPriority w:val="9"/>
    <w:qFormat/>
    <w:rsid w:val="00303F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03F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03F5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03F5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03F5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03F5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03F5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03F5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03F5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03F5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03F5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03F5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03F5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03F5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03F5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03F5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03F5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03F56"/>
    <w:rPr>
      <w:rFonts w:eastAsiaTheme="majorEastAsia" w:cstheme="majorBidi"/>
      <w:color w:val="272727" w:themeColor="text1" w:themeTint="D8"/>
    </w:rPr>
  </w:style>
  <w:style w:type="paragraph" w:styleId="Ttulo">
    <w:name w:val="Title"/>
    <w:basedOn w:val="Normal"/>
    <w:next w:val="Normal"/>
    <w:link w:val="TtuloCar"/>
    <w:uiPriority w:val="10"/>
    <w:qFormat/>
    <w:rsid w:val="00303F5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03F5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03F5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03F5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03F56"/>
    <w:pPr>
      <w:spacing w:before="160"/>
      <w:jc w:val="center"/>
    </w:pPr>
    <w:rPr>
      <w:i/>
      <w:iCs/>
      <w:color w:val="404040" w:themeColor="text1" w:themeTint="BF"/>
    </w:rPr>
  </w:style>
  <w:style w:type="character" w:customStyle="1" w:styleId="CitaCar">
    <w:name w:val="Cita Car"/>
    <w:basedOn w:val="Fuentedeprrafopredeter"/>
    <w:link w:val="Cita"/>
    <w:uiPriority w:val="29"/>
    <w:rsid w:val="00303F56"/>
    <w:rPr>
      <w:i/>
      <w:iCs/>
      <w:color w:val="404040" w:themeColor="text1" w:themeTint="BF"/>
    </w:rPr>
  </w:style>
  <w:style w:type="paragraph" w:styleId="Prrafodelista">
    <w:name w:val="List Paragraph"/>
    <w:basedOn w:val="Normal"/>
    <w:uiPriority w:val="34"/>
    <w:qFormat/>
    <w:rsid w:val="00303F56"/>
    <w:pPr>
      <w:ind w:left="720"/>
      <w:contextualSpacing/>
    </w:pPr>
  </w:style>
  <w:style w:type="character" w:styleId="nfasisintenso">
    <w:name w:val="Intense Emphasis"/>
    <w:basedOn w:val="Fuentedeprrafopredeter"/>
    <w:uiPriority w:val="21"/>
    <w:qFormat/>
    <w:rsid w:val="00303F56"/>
    <w:rPr>
      <w:i/>
      <w:iCs/>
      <w:color w:val="0F4761" w:themeColor="accent1" w:themeShade="BF"/>
    </w:rPr>
  </w:style>
  <w:style w:type="paragraph" w:styleId="Citadestacada">
    <w:name w:val="Intense Quote"/>
    <w:basedOn w:val="Normal"/>
    <w:next w:val="Normal"/>
    <w:link w:val="CitadestacadaCar"/>
    <w:uiPriority w:val="30"/>
    <w:qFormat/>
    <w:rsid w:val="00303F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03F56"/>
    <w:rPr>
      <w:i/>
      <w:iCs/>
      <w:color w:val="0F4761" w:themeColor="accent1" w:themeShade="BF"/>
    </w:rPr>
  </w:style>
  <w:style w:type="character" w:styleId="Referenciaintensa">
    <w:name w:val="Intense Reference"/>
    <w:basedOn w:val="Fuentedeprrafopredeter"/>
    <w:uiPriority w:val="32"/>
    <w:qFormat/>
    <w:rsid w:val="00303F56"/>
    <w:rPr>
      <w:b/>
      <w:bCs/>
      <w:smallCaps/>
      <w:color w:val="0F4761" w:themeColor="accent1" w:themeShade="BF"/>
      <w:spacing w:val="5"/>
    </w:rPr>
  </w:style>
  <w:style w:type="character" w:styleId="Hipervnculo">
    <w:name w:val="Hyperlink"/>
    <w:basedOn w:val="Fuentedeprrafopredeter"/>
    <w:uiPriority w:val="99"/>
    <w:unhideWhenUsed/>
    <w:rsid w:val="002D55DA"/>
    <w:rPr>
      <w:color w:val="467886" w:themeColor="hyperlink"/>
      <w:u w:val="single"/>
    </w:rPr>
  </w:style>
  <w:style w:type="character" w:styleId="Mencinsinresolver">
    <w:name w:val="Unresolved Mention"/>
    <w:basedOn w:val="Fuentedeprrafopredeter"/>
    <w:uiPriority w:val="99"/>
    <w:semiHidden/>
    <w:unhideWhenUsed/>
    <w:rsid w:val="002D5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dgb.com/CniGdfluNXP" TargetMode="External"/><Relationship Id="rId3" Type="http://schemas.openxmlformats.org/officeDocument/2006/relationships/settings" Target="settings.xml"/><Relationship Id="rId7" Type="http://schemas.openxmlformats.org/officeDocument/2006/relationships/hyperlink" Target="https://drive.google.com/drive/folders/1fQCsULja_9OqJOs0TBS-9dJEWd1SGD4U?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464</Words>
  <Characters>2552</Characters>
  <Application>Microsoft Office Word</Application>
  <DocSecurity>0</DocSecurity>
  <Lines>21</Lines>
  <Paragraphs>6</Paragraphs>
  <ScaleCrop>false</ScaleCrop>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Rogelio Alberto Ruiz Aleman</dc:creator>
  <cp:keywords/>
  <dc:description/>
  <cp:lastModifiedBy>Luz Maria Rico Jardon</cp:lastModifiedBy>
  <cp:revision>2</cp:revision>
  <dcterms:created xsi:type="dcterms:W3CDTF">2026-02-25T16:49:00Z</dcterms:created>
  <dcterms:modified xsi:type="dcterms:W3CDTF">2026-02-25T16:49:00Z</dcterms:modified>
</cp:coreProperties>
</file>