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7498C" w14:textId="77777777" w:rsidR="008975CA" w:rsidRDefault="000E7EF0">
      <w:pPr>
        <w:jc w:val="both"/>
        <w:rPr>
          <w:rFonts w:ascii="Noto Sans" w:eastAsia="Noto Sans" w:hAnsi="Noto Sans" w:cs="Noto Sans"/>
          <w:sz w:val="19"/>
          <w:szCs w:val="19"/>
        </w:rPr>
      </w:pPr>
      <w:r>
        <w:rPr>
          <w:rFonts w:ascii="Geom" w:eastAsia="Geom" w:hAnsi="Geom" w:cs="Geom"/>
          <w:sz w:val="21"/>
          <w:szCs w:val="21"/>
        </w:rPr>
        <w:t xml:space="preserve"> </w:t>
      </w:r>
      <w:r>
        <w:rPr>
          <w:noProof/>
        </w:rPr>
        <mc:AlternateContent>
          <mc:Choice Requires="wps">
            <w:drawing>
              <wp:anchor distT="0" distB="0" distL="114300" distR="114300" simplePos="0" relativeHeight="251658240" behindDoc="0" locked="0" layoutInCell="1" hidden="0" allowOverlap="1" wp14:anchorId="0E39307D" wp14:editId="4305E601">
                <wp:simplePos x="0" y="0"/>
                <wp:positionH relativeFrom="column">
                  <wp:posOffset>2369503</wp:posOffset>
                </wp:positionH>
                <wp:positionV relativeFrom="paragraph">
                  <wp:posOffset>-4761</wp:posOffset>
                </wp:positionV>
                <wp:extent cx="3855085" cy="750127"/>
                <wp:effectExtent l="0" t="0" r="0" b="0"/>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3423220" y="3460913"/>
                          <a:ext cx="3845700" cy="638100"/>
                        </a:xfrm>
                        <a:prstGeom prst="rect">
                          <a:avLst/>
                        </a:prstGeom>
                        <a:noFill/>
                        <a:ln>
                          <a:noFill/>
                        </a:ln>
                      </wps:spPr>
                      <wps:txbx>
                        <w:txbxContent>
                          <w:p w14:paraId="70A19EE6" w14:textId="77777777" w:rsidR="008975CA" w:rsidRDefault="000E7EF0">
                            <w:pPr>
                              <w:spacing w:before="120" w:after="40" w:line="220" w:lineRule="auto"/>
                              <w:jc w:val="right"/>
                              <w:textDirection w:val="btLr"/>
                            </w:pPr>
                            <w:r>
                              <w:rPr>
                                <w:rFonts w:ascii="Noto Sans" w:eastAsia="Noto Sans" w:hAnsi="Noto Sans" w:cs="Noto Sans"/>
                                <w:color w:val="BA8C54"/>
                                <w:sz w:val="28"/>
                              </w:rPr>
                              <w:t>BOLETÍN DE PRENSA</w:t>
                            </w:r>
                          </w:p>
                          <w:p w14:paraId="0359E089" w14:textId="77777777" w:rsidR="008975CA" w:rsidRDefault="000E7EF0">
                            <w:pPr>
                              <w:spacing w:before="120" w:after="40" w:line="220" w:lineRule="auto"/>
                              <w:jc w:val="right"/>
                              <w:textDirection w:val="btLr"/>
                            </w:pPr>
                            <w:r>
                              <w:rPr>
                                <w:rFonts w:ascii="Noto Sans" w:eastAsia="Noto Sans" w:hAnsi="Noto Sans" w:cs="Noto Sans"/>
                                <w:color w:val="000000"/>
                                <w:sz w:val="20"/>
                              </w:rPr>
                              <w:t xml:space="preserve">Ciudad de México, martes 27 de enero de 2026 </w:t>
                            </w:r>
                          </w:p>
                          <w:p w14:paraId="2A07885D" w14:textId="77777777" w:rsidR="008975CA" w:rsidRDefault="000E7EF0">
                            <w:pPr>
                              <w:spacing w:before="120" w:after="40" w:line="220" w:lineRule="auto"/>
                              <w:jc w:val="right"/>
                              <w:textDirection w:val="btLr"/>
                            </w:pPr>
                            <w:r>
                              <w:rPr>
                                <w:rFonts w:ascii="Noto Sans" w:eastAsia="Noto Sans" w:hAnsi="Noto Sans" w:cs="Noto Sans"/>
                                <w:color w:val="000000"/>
                                <w:sz w:val="20"/>
                              </w:rPr>
                              <w:t>No. 053/2026</w:t>
                            </w:r>
                          </w:p>
                        </w:txbxContent>
                      </wps:txbx>
                      <wps:bodyPr spcFirstLastPara="1" wrap="square" lIns="0" tIns="0" rIns="0" bIns="0" anchor="t" anchorCtr="0">
                        <a:noAutofit/>
                      </wps:bodyPr>
                    </wps:wsp>
                  </a:graphicData>
                </a:graphic>
              </wp:anchor>
            </w:drawing>
          </mc:Choice>
          <mc:Fallback>
            <w:pict>
              <v:rect w14:anchorId="0E39307D" id="Rectángulo 1" o:spid="_x0000_s1026" style="position:absolute;left:0;text-align:left;margin-left:186.6pt;margin-top:-.35pt;width:303.55pt;height:59.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" filled="f" stroked="f">
                <v:textbox inset="0,0,0,0">
                  <w:txbxContent>
                    <w:p w14:paraId="70A19EE6" w14:textId="77777777" w:rsidR="008975CA" w:rsidRDefault="000E7EF0">
                      <w:pPr>
                        <w:spacing w:before="120" w:after="40" w:line="220" w:lineRule="auto"/>
                        <w:jc w:val="right"/>
                        <w:textDirection w:val="btLr"/>
                      </w:pPr>
                      <w:r>
                        <w:rPr>
                          <w:rFonts w:ascii="Noto Sans" w:eastAsia="Noto Sans" w:hAnsi="Noto Sans" w:cs="Noto Sans"/>
                          <w:color w:val="BA8C54"/>
                          <w:sz w:val="28"/>
                        </w:rPr>
                        <w:t>BOLETÍN DE PRENSA</w:t>
                      </w:r>
                    </w:p>
                    <w:p w14:paraId="0359E089" w14:textId="77777777" w:rsidR="008975CA" w:rsidRDefault="000E7EF0">
                      <w:pPr>
                        <w:spacing w:before="120" w:after="40" w:line="220" w:lineRule="auto"/>
                        <w:jc w:val="right"/>
                        <w:textDirection w:val="btLr"/>
                      </w:pPr>
                      <w:r>
                        <w:rPr>
                          <w:rFonts w:ascii="Noto Sans" w:eastAsia="Noto Sans" w:hAnsi="Noto Sans" w:cs="Noto Sans"/>
                          <w:color w:val="000000"/>
                          <w:sz w:val="20"/>
                        </w:rPr>
                        <w:t xml:space="preserve">Ciudad de México, martes 27 de enero de 2026 </w:t>
                      </w:r>
                    </w:p>
                    <w:p w14:paraId="2A07885D" w14:textId="77777777" w:rsidR="008975CA" w:rsidRDefault="000E7EF0">
                      <w:pPr>
                        <w:spacing w:before="120" w:after="40" w:line="220" w:lineRule="auto"/>
                        <w:jc w:val="right"/>
                        <w:textDirection w:val="btLr"/>
                      </w:pPr>
                      <w:r>
                        <w:rPr>
                          <w:rFonts w:ascii="Noto Sans" w:eastAsia="Noto Sans" w:hAnsi="Noto Sans" w:cs="Noto Sans"/>
                          <w:color w:val="000000"/>
                          <w:sz w:val="20"/>
                        </w:rPr>
                        <w:t>No. 053/2026</w:t>
                      </w:r>
                    </w:p>
                  </w:txbxContent>
                </v:textbox>
                <w10:wrap type="square"/>
              </v:rect>
            </w:pict>
          </mc:Fallback>
        </mc:AlternateContent>
      </w:r>
    </w:p>
    <w:p w14:paraId="139D7221" w14:textId="77777777" w:rsidR="008975CA" w:rsidRDefault="008975CA">
      <w:pPr>
        <w:jc w:val="both"/>
        <w:rPr>
          <w:rFonts w:ascii="Noto Sans" w:eastAsia="Noto Sans" w:hAnsi="Noto Sans" w:cs="Noto Sans"/>
          <w:sz w:val="19"/>
          <w:szCs w:val="19"/>
        </w:rPr>
      </w:pPr>
    </w:p>
    <w:p w14:paraId="1A300F8B" w14:textId="77777777" w:rsidR="008975CA" w:rsidRDefault="008975CA">
      <w:pPr>
        <w:jc w:val="both"/>
        <w:rPr>
          <w:rFonts w:ascii="Noto Sans" w:eastAsia="Noto Sans" w:hAnsi="Noto Sans" w:cs="Noto Sans"/>
          <w:sz w:val="19"/>
          <w:szCs w:val="19"/>
        </w:rPr>
      </w:pPr>
    </w:p>
    <w:p w14:paraId="40D0F9C6" w14:textId="77777777" w:rsidR="008975CA" w:rsidRDefault="008975CA">
      <w:pPr>
        <w:ind w:right="-1085"/>
        <w:rPr>
          <w:rFonts w:ascii="Noto Sans" w:eastAsia="Noto Sans" w:hAnsi="Noto Sans" w:cs="Noto Sans"/>
          <w:b/>
          <w:bCs/>
        </w:rPr>
      </w:pPr>
    </w:p>
    <w:p w14:paraId="2C0AF633" w14:textId="77777777" w:rsidR="008975CA" w:rsidRDefault="008975CA">
      <w:pPr>
        <w:jc w:val="center"/>
        <w:rPr>
          <w:rFonts w:ascii="Noto Sans" w:eastAsia="Noto Sans" w:hAnsi="Noto Sans" w:cs="Noto Sans"/>
          <w:b/>
          <w:bCs/>
        </w:rPr>
      </w:pPr>
    </w:p>
    <w:p w14:paraId="3B93D121" w14:textId="77777777" w:rsidR="008975CA" w:rsidRDefault="000E7EF0">
      <w:pPr>
        <w:jc w:val="center"/>
        <w:rPr>
          <w:rFonts w:ascii="Noto Sans" w:eastAsia="Noto Sans" w:hAnsi="Noto Sans" w:cs="Noto Sans"/>
          <w:b/>
          <w:bCs/>
          <w:sz w:val="28"/>
          <w:szCs w:val="28"/>
        </w:rPr>
      </w:pPr>
      <w:r>
        <w:rPr>
          <w:rFonts w:ascii="Noto Sans" w:eastAsia="Noto Sans" w:hAnsi="Noto Sans" w:cs="Noto Sans"/>
          <w:b/>
          <w:bCs/>
          <w:sz w:val="28"/>
          <w:szCs w:val="28"/>
        </w:rPr>
        <w:t xml:space="preserve">Más de mil 700 </w:t>
      </w:r>
      <w:proofErr w:type="spellStart"/>
      <w:r>
        <w:rPr>
          <w:rFonts w:ascii="Noto Sans" w:eastAsia="Noto Sans" w:hAnsi="Noto Sans" w:cs="Noto Sans"/>
          <w:b/>
          <w:bCs/>
          <w:sz w:val="28"/>
          <w:szCs w:val="28"/>
        </w:rPr>
        <w:t>mdp</w:t>
      </w:r>
      <w:proofErr w:type="spellEnd"/>
      <w:r>
        <w:rPr>
          <w:rFonts w:ascii="Noto Sans" w:eastAsia="Noto Sans" w:hAnsi="Noto Sans" w:cs="Noto Sans"/>
          <w:b/>
          <w:bCs/>
          <w:sz w:val="28"/>
          <w:szCs w:val="28"/>
        </w:rPr>
        <w:t xml:space="preserve"> para modernizar equipo médico de alta tecnología; la compra más grande en la historia del IMSS: Zoé Robledo</w:t>
      </w:r>
    </w:p>
    <w:p w14:paraId="30CAA738" w14:textId="77777777" w:rsidR="008975CA" w:rsidRDefault="008975CA">
      <w:pPr>
        <w:jc w:val="center"/>
        <w:rPr>
          <w:rFonts w:ascii="Noto Sans" w:eastAsia="Noto Sans" w:hAnsi="Noto Sans" w:cs="Noto Sans"/>
          <w:b/>
          <w:bCs/>
        </w:rPr>
      </w:pPr>
    </w:p>
    <w:p w14:paraId="697DED14" w14:textId="77777777" w:rsidR="008975CA" w:rsidRDefault="000E7EF0">
      <w:pPr>
        <w:numPr>
          <w:ilvl w:val="0"/>
          <w:numId w:val="1"/>
        </w:numPr>
        <w:pBdr>
          <w:top w:val="nil"/>
          <w:left w:val="nil"/>
          <w:bottom w:val="nil"/>
          <w:right w:val="nil"/>
          <w:between w:val="nil"/>
        </w:pBdr>
        <w:jc w:val="both"/>
        <w:rPr>
          <w:b/>
          <w:bCs/>
          <w:color w:val="000000"/>
          <w:sz w:val="20"/>
          <w:szCs w:val="20"/>
        </w:rPr>
      </w:pPr>
      <w:r>
        <w:rPr>
          <w:rFonts w:ascii="Noto Sans" w:eastAsia="Noto Sans" w:hAnsi="Noto Sans" w:cs="Noto Sans"/>
          <w:b/>
          <w:bCs/>
          <w:color w:val="000000"/>
          <w:sz w:val="20"/>
          <w:szCs w:val="20"/>
        </w:rPr>
        <w:t xml:space="preserve">Se sustituirán equipos que habían rebasado su vida útil y fortalecerán la capacidad diagnóstica en 27 Unidades de Medicina Familiar y 96 hospitales de 26 estados del país. </w:t>
      </w:r>
    </w:p>
    <w:p w14:paraId="1EFCFB06" w14:textId="77777777" w:rsidR="008975CA" w:rsidRDefault="000E7EF0">
      <w:pPr>
        <w:numPr>
          <w:ilvl w:val="0"/>
          <w:numId w:val="1"/>
        </w:numPr>
        <w:pBdr>
          <w:top w:val="nil"/>
          <w:left w:val="nil"/>
          <w:bottom w:val="nil"/>
          <w:right w:val="nil"/>
          <w:between w:val="nil"/>
        </w:pBdr>
        <w:jc w:val="both"/>
        <w:rPr>
          <w:b/>
          <w:bCs/>
          <w:color w:val="000000"/>
          <w:sz w:val="20"/>
          <w:szCs w:val="20"/>
        </w:rPr>
      </w:pPr>
      <w:r>
        <w:rPr>
          <w:rFonts w:ascii="Noto Sans" w:eastAsia="Noto Sans" w:hAnsi="Noto Sans" w:cs="Noto Sans"/>
          <w:b/>
          <w:bCs/>
          <w:color w:val="000000"/>
          <w:sz w:val="20"/>
          <w:szCs w:val="20"/>
        </w:rPr>
        <w:t xml:space="preserve">La institución adquirió 123 equipos de última generación: 67 </w:t>
      </w:r>
      <w:proofErr w:type="spellStart"/>
      <w:r>
        <w:rPr>
          <w:rFonts w:ascii="Noto Sans" w:eastAsia="Noto Sans" w:hAnsi="Noto Sans" w:cs="Noto Sans"/>
          <w:b/>
          <w:bCs/>
          <w:color w:val="000000"/>
          <w:sz w:val="20"/>
          <w:szCs w:val="20"/>
        </w:rPr>
        <w:t>mastógrafos</w:t>
      </w:r>
      <w:proofErr w:type="spellEnd"/>
      <w:r>
        <w:rPr>
          <w:rFonts w:ascii="Noto Sans" w:eastAsia="Noto Sans" w:hAnsi="Noto Sans" w:cs="Noto Sans"/>
          <w:b/>
          <w:bCs/>
          <w:color w:val="000000"/>
          <w:sz w:val="20"/>
          <w:szCs w:val="20"/>
        </w:rPr>
        <w:t xml:space="preserve">, 42 tomógrafos, 12 resonancias magnéticas y dos </w:t>
      </w:r>
      <w:proofErr w:type="spellStart"/>
      <w:r>
        <w:rPr>
          <w:rFonts w:ascii="Noto Sans" w:eastAsia="Noto Sans" w:hAnsi="Noto Sans" w:cs="Noto Sans"/>
          <w:b/>
          <w:bCs/>
          <w:color w:val="000000"/>
          <w:sz w:val="20"/>
          <w:szCs w:val="20"/>
        </w:rPr>
        <w:t>angiógrafos</w:t>
      </w:r>
      <w:proofErr w:type="spellEnd"/>
      <w:r>
        <w:rPr>
          <w:rFonts w:ascii="Noto Sans" w:eastAsia="Noto Sans" w:hAnsi="Noto Sans" w:cs="Noto Sans"/>
          <w:b/>
          <w:bCs/>
          <w:color w:val="000000"/>
          <w:sz w:val="20"/>
          <w:szCs w:val="20"/>
        </w:rPr>
        <w:t xml:space="preserve"> pediátricos, equipos que estarán en operación el 30 de abril de 2026. </w:t>
      </w:r>
    </w:p>
    <w:p w14:paraId="6A36D817" w14:textId="77777777" w:rsidR="008975CA" w:rsidRDefault="008975CA">
      <w:pPr>
        <w:jc w:val="both"/>
        <w:rPr>
          <w:rFonts w:ascii="Noto Sans" w:eastAsia="Noto Sans" w:hAnsi="Noto Sans" w:cs="Noto Sans"/>
          <w:sz w:val="20"/>
          <w:szCs w:val="20"/>
        </w:rPr>
      </w:pPr>
    </w:p>
    <w:p w14:paraId="550CCC10"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El director general del Instituto Mexicano del Seguro Social (IMSS), Zoé Robledo, informó que en 2025 la institución llevó a cabo la mayor adquisición de equipo médico de alta tecnología realizada en años recientes, acción que permitirá sustituir equipos que habían rebasado su vida útil y fortalecer la capacidad diagnóstica en 27 Unidades de Medicina Familiar (UMF) y 96 hospitales de 26 estados del país, cuya inversión fue de mil 747 millones de pesos (</w:t>
      </w:r>
      <w:proofErr w:type="spellStart"/>
      <w:r>
        <w:rPr>
          <w:rFonts w:ascii="Noto Sans" w:eastAsia="Noto Sans" w:hAnsi="Noto Sans" w:cs="Noto Sans"/>
          <w:sz w:val="20"/>
          <w:szCs w:val="20"/>
        </w:rPr>
        <w:t>mdp</w:t>
      </w:r>
      <w:proofErr w:type="spellEnd"/>
      <w:r>
        <w:rPr>
          <w:rFonts w:ascii="Noto Sans" w:eastAsia="Noto Sans" w:hAnsi="Noto Sans" w:cs="Noto Sans"/>
          <w:sz w:val="20"/>
          <w:szCs w:val="20"/>
        </w:rPr>
        <w:t>).</w:t>
      </w:r>
    </w:p>
    <w:p w14:paraId="66FD5641"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 xml:space="preserve"> </w:t>
      </w:r>
    </w:p>
    <w:p w14:paraId="1FE2F0A7"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 xml:space="preserve">Durante la conferencia de prensa que encabezó en Palacio Nacional la </w:t>
      </w:r>
      <w:proofErr w:type="gramStart"/>
      <w:r>
        <w:rPr>
          <w:rFonts w:ascii="Noto Sans" w:eastAsia="Noto Sans" w:hAnsi="Noto Sans" w:cs="Noto Sans"/>
          <w:sz w:val="20"/>
          <w:szCs w:val="20"/>
        </w:rPr>
        <w:t>Presidenta</w:t>
      </w:r>
      <w:proofErr w:type="gramEnd"/>
      <w:r>
        <w:rPr>
          <w:rFonts w:ascii="Noto Sans" w:eastAsia="Noto Sans" w:hAnsi="Noto Sans" w:cs="Noto Sans"/>
          <w:sz w:val="20"/>
          <w:szCs w:val="20"/>
        </w:rPr>
        <w:t xml:space="preserve"> de México, Claudia Sheinbaum Pardo, el titular del Seguro Social destacó que en total se adquirieron 123 equipos de última generación: 67 </w:t>
      </w:r>
      <w:proofErr w:type="spellStart"/>
      <w:r>
        <w:rPr>
          <w:rFonts w:ascii="Noto Sans" w:eastAsia="Noto Sans" w:hAnsi="Noto Sans" w:cs="Noto Sans"/>
          <w:sz w:val="20"/>
          <w:szCs w:val="20"/>
        </w:rPr>
        <w:t>mastógrafos</w:t>
      </w:r>
      <w:proofErr w:type="spellEnd"/>
      <w:r>
        <w:rPr>
          <w:rFonts w:ascii="Noto Sans" w:eastAsia="Noto Sans" w:hAnsi="Noto Sans" w:cs="Noto Sans"/>
          <w:sz w:val="20"/>
          <w:szCs w:val="20"/>
        </w:rPr>
        <w:t xml:space="preserve">, 42 tomógrafos, 12 resonancias magnéticas y dos </w:t>
      </w:r>
      <w:proofErr w:type="spellStart"/>
      <w:r>
        <w:rPr>
          <w:rFonts w:ascii="Noto Sans" w:eastAsia="Noto Sans" w:hAnsi="Noto Sans" w:cs="Noto Sans"/>
          <w:sz w:val="20"/>
          <w:szCs w:val="20"/>
        </w:rPr>
        <w:t>angiógrafos</w:t>
      </w:r>
      <w:proofErr w:type="spellEnd"/>
      <w:r>
        <w:rPr>
          <w:rFonts w:ascii="Noto Sans" w:eastAsia="Noto Sans" w:hAnsi="Noto Sans" w:cs="Noto Sans"/>
          <w:sz w:val="20"/>
          <w:szCs w:val="20"/>
        </w:rPr>
        <w:t xml:space="preserve"> pediátricos, equipos que estarán en operación el 30 de abril de 2026. “Es la compra más grande que ha hecho el IMSS en un solo procedimiento”.</w:t>
      </w:r>
    </w:p>
    <w:p w14:paraId="603705DE" w14:textId="77777777" w:rsidR="008975CA" w:rsidRDefault="008975CA">
      <w:pPr>
        <w:widowControl w:val="0"/>
        <w:jc w:val="both"/>
        <w:rPr>
          <w:rFonts w:ascii="Noto Sans" w:eastAsia="Noto Sans" w:hAnsi="Noto Sans" w:cs="Noto Sans"/>
          <w:sz w:val="20"/>
          <w:szCs w:val="20"/>
        </w:rPr>
      </w:pPr>
    </w:p>
    <w:p w14:paraId="39E8EF43"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Con esta modernización, el IMSS incrementará su capacidad para realizar diagnósticos con mayor rapidez y oportunidad, lo que permitirá mejorar los tiempos de espera.</w:t>
      </w:r>
    </w:p>
    <w:p w14:paraId="382FC079"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 xml:space="preserve"> </w:t>
      </w:r>
    </w:p>
    <w:p w14:paraId="1AF7A159"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Señaló que para la adquisición se compra directamente a los fabricantes, algo que no ocurría en el Seguro Social desde hace mucho tiempo; se lleva a cabo un diálogo estratégico competitivo, después se realiza la búsqueda de la más alta gama, equipos de última generación, para posteriormente hacer la oferta subsecuente de descuento.</w:t>
      </w:r>
    </w:p>
    <w:p w14:paraId="28F5A06F"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 xml:space="preserve"> </w:t>
      </w:r>
    </w:p>
    <w:p w14:paraId="721898A4"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 xml:space="preserve">Al referirse al impacto presupuestal del proceso de adquisición, explicó que el proceso permitió una reducción significativa respecto al monto originalmente registrado ante la Secretaría de Hacienda, </w:t>
      </w:r>
      <w:proofErr w:type="gramStart"/>
      <w:r>
        <w:rPr>
          <w:rFonts w:ascii="Noto Sans" w:eastAsia="Noto Sans" w:hAnsi="Noto Sans" w:cs="Noto Sans"/>
          <w:sz w:val="20"/>
          <w:szCs w:val="20"/>
        </w:rPr>
        <w:t>ya que</w:t>
      </w:r>
      <w:proofErr w:type="gramEnd"/>
      <w:r>
        <w:rPr>
          <w:rFonts w:ascii="Noto Sans" w:eastAsia="Noto Sans" w:hAnsi="Noto Sans" w:cs="Noto Sans"/>
          <w:sz w:val="20"/>
          <w:szCs w:val="20"/>
        </w:rPr>
        <w:t xml:space="preserve"> frente a un presupuesto inicial de 3 mil 154 millones de pesos, la inversión final fue de mil 747 millones de pesos, lo que representó un ahorro de mil 400 millones de pesos, equivalente al 45 por ciento del recurso.</w:t>
      </w:r>
    </w:p>
    <w:p w14:paraId="34A4AF02"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 xml:space="preserve"> </w:t>
      </w:r>
    </w:p>
    <w:p w14:paraId="2CDABB11"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 xml:space="preserve">Zoé Robledo indicó que se evalúa junto con la Secretaría Anticorrupción y Buen Gobierno la posibilidad de que se adhiera cualquier institución a estas condiciones de compra. “El contrato está para la entrega, </w:t>
      </w:r>
      <w:r>
        <w:rPr>
          <w:rFonts w:ascii="Noto Sans" w:eastAsia="Noto Sans" w:hAnsi="Noto Sans" w:cs="Noto Sans"/>
          <w:sz w:val="20"/>
          <w:szCs w:val="20"/>
        </w:rPr>
        <w:lastRenderedPageBreak/>
        <w:t>instalación, adecuaciones de espacios y capacitación para el mes de abril”.</w:t>
      </w:r>
    </w:p>
    <w:p w14:paraId="5E473EC2"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 xml:space="preserve"> </w:t>
      </w:r>
    </w:p>
    <w:p w14:paraId="6E3F9288"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 xml:space="preserve">Subrayó que esta inversión representa un avance significativo en la modernización del Instituto y en la mejora de los servicios que se brindan a millones de derechohabientes. “A la par con todo el crecimiento de infraestructura, la </w:t>
      </w:r>
      <w:proofErr w:type="gramStart"/>
      <w:r>
        <w:rPr>
          <w:rFonts w:ascii="Noto Sans" w:eastAsia="Noto Sans" w:hAnsi="Noto Sans" w:cs="Noto Sans"/>
          <w:sz w:val="20"/>
          <w:szCs w:val="20"/>
        </w:rPr>
        <w:t>Presidenta</w:t>
      </w:r>
      <w:proofErr w:type="gramEnd"/>
      <w:r>
        <w:rPr>
          <w:rFonts w:ascii="Noto Sans" w:eastAsia="Noto Sans" w:hAnsi="Noto Sans" w:cs="Noto Sans"/>
          <w:sz w:val="20"/>
          <w:szCs w:val="20"/>
        </w:rPr>
        <w:t xml:space="preserve"> nos ha pedido también invertir mucho en la parte de los hospitales que están en operación, sobre todo en equipos que ya han cumplido con su vida útil y que necesitan sustituirse”.</w:t>
      </w:r>
    </w:p>
    <w:p w14:paraId="17E5677E"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 xml:space="preserve"> </w:t>
      </w:r>
    </w:p>
    <w:p w14:paraId="56BFF875"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 xml:space="preserve">Zoé Robledo expuso que desde 2019 el IMSS ha incrementado de manera sostenida la inversión destinada a la renovación de su infraestructura médica, lo que permitirá fortalecer diagnósticos y tratamientos en especialidades como Oncología, Cardiología, Neurología, Neumología y </w:t>
      </w:r>
      <w:proofErr w:type="spellStart"/>
      <w:r>
        <w:rPr>
          <w:rFonts w:ascii="Noto Sans" w:eastAsia="Noto Sans" w:hAnsi="Noto Sans" w:cs="Noto Sans"/>
          <w:sz w:val="20"/>
          <w:szCs w:val="20"/>
        </w:rPr>
        <w:t>Neurointervencionismo</w:t>
      </w:r>
      <w:proofErr w:type="spellEnd"/>
      <w:r>
        <w:rPr>
          <w:rFonts w:ascii="Noto Sans" w:eastAsia="Noto Sans" w:hAnsi="Noto Sans" w:cs="Noto Sans"/>
          <w:sz w:val="20"/>
          <w:szCs w:val="20"/>
        </w:rPr>
        <w:t xml:space="preserve"> Pediátrico. “Lo hicimos con las reformas que ocurrieron el año pasado a la Ley de Adquisiciones”.</w:t>
      </w:r>
    </w:p>
    <w:p w14:paraId="1DAB7660"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 xml:space="preserve"> </w:t>
      </w:r>
    </w:p>
    <w:p w14:paraId="55E8FA7E" w14:textId="77777777" w:rsidR="008975CA" w:rsidRDefault="000E7EF0">
      <w:pPr>
        <w:widowControl w:val="0"/>
        <w:jc w:val="both"/>
        <w:rPr>
          <w:rFonts w:ascii="Noto Sans" w:eastAsia="Noto Sans" w:hAnsi="Noto Sans" w:cs="Noto Sans"/>
          <w:b/>
          <w:bCs/>
          <w:sz w:val="20"/>
          <w:szCs w:val="20"/>
        </w:rPr>
      </w:pPr>
      <w:r>
        <w:rPr>
          <w:rFonts w:ascii="Noto Sans" w:eastAsia="Noto Sans" w:hAnsi="Noto Sans" w:cs="Noto Sans"/>
          <w:b/>
          <w:bCs/>
          <w:sz w:val="20"/>
          <w:szCs w:val="20"/>
        </w:rPr>
        <w:t>Nueva infraestructura diagnóstica del IMSS mejorará unidades de Primer y Tercer Nivel con tecnología italiana, estadounidense, japonesa y neerlandesa</w:t>
      </w:r>
    </w:p>
    <w:p w14:paraId="65DEA7C3"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 xml:space="preserve"> </w:t>
      </w:r>
    </w:p>
    <w:p w14:paraId="29D6C493"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 xml:space="preserve">El director general del IMSS indicó que los 67 </w:t>
      </w:r>
      <w:proofErr w:type="spellStart"/>
      <w:r>
        <w:rPr>
          <w:rFonts w:ascii="Noto Sans" w:eastAsia="Noto Sans" w:hAnsi="Noto Sans" w:cs="Noto Sans"/>
          <w:sz w:val="20"/>
          <w:szCs w:val="20"/>
        </w:rPr>
        <w:t>mastógrafos</w:t>
      </w:r>
      <w:proofErr w:type="spellEnd"/>
      <w:r>
        <w:rPr>
          <w:rFonts w:ascii="Noto Sans" w:eastAsia="Noto Sans" w:hAnsi="Noto Sans" w:cs="Noto Sans"/>
          <w:sz w:val="20"/>
          <w:szCs w:val="20"/>
        </w:rPr>
        <w:t xml:space="preserve"> adquiridos, fabricados por la empresa italiana IMS Giotto, corresponden a modelos con capacidades digitales, estereotácticas y de </w:t>
      </w:r>
      <w:proofErr w:type="spellStart"/>
      <w:r>
        <w:rPr>
          <w:rFonts w:ascii="Noto Sans" w:eastAsia="Noto Sans" w:hAnsi="Noto Sans" w:cs="Noto Sans"/>
          <w:sz w:val="20"/>
          <w:szCs w:val="20"/>
        </w:rPr>
        <w:t>tomosíntesis</w:t>
      </w:r>
      <w:proofErr w:type="spellEnd"/>
      <w:r>
        <w:rPr>
          <w:rFonts w:ascii="Noto Sans" w:eastAsia="Noto Sans" w:hAnsi="Noto Sans" w:cs="Noto Sans"/>
          <w:sz w:val="20"/>
          <w:szCs w:val="20"/>
        </w:rPr>
        <w:t>; estos equipos se instalarán en 27 Unidades de Medicina Familiar y 40 hospitales en 21 entidades federativas para fortalecer la detección temprana y el diagnóstico oportuno del cáncer de mama.</w:t>
      </w:r>
    </w:p>
    <w:p w14:paraId="2F4001FC"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 xml:space="preserve"> </w:t>
      </w:r>
    </w:p>
    <w:p w14:paraId="4598FE6F"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 xml:space="preserve">Añadió que 30 de los </w:t>
      </w:r>
      <w:proofErr w:type="spellStart"/>
      <w:r>
        <w:rPr>
          <w:rFonts w:ascii="Noto Sans" w:eastAsia="Noto Sans" w:hAnsi="Noto Sans" w:cs="Noto Sans"/>
          <w:sz w:val="20"/>
          <w:szCs w:val="20"/>
        </w:rPr>
        <w:t>mastógrafos</w:t>
      </w:r>
      <w:proofErr w:type="spellEnd"/>
      <w:r>
        <w:rPr>
          <w:rFonts w:ascii="Noto Sans" w:eastAsia="Noto Sans" w:hAnsi="Noto Sans" w:cs="Noto Sans"/>
          <w:sz w:val="20"/>
          <w:szCs w:val="20"/>
        </w:rPr>
        <w:t xml:space="preserve"> son digitales, tres cuentan con </w:t>
      </w:r>
      <w:proofErr w:type="spellStart"/>
      <w:r>
        <w:rPr>
          <w:rFonts w:ascii="Noto Sans" w:eastAsia="Noto Sans" w:hAnsi="Noto Sans" w:cs="Noto Sans"/>
          <w:sz w:val="20"/>
          <w:szCs w:val="20"/>
        </w:rPr>
        <w:t>estereotaxia</w:t>
      </w:r>
      <w:proofErr w:type="spellEnd"/>
      <w:r>
        <w:rPr>
          <w:rFonts w:ascii="Noto Sans" w:eastAsia="Noto Sans" w:hAnsi="Noto Sans" w:cs="Noto Sans"/>
          <w:sz w:val="20"/>
          <w:szCs w:val="20"/>
        </w:rPr>
        <w:t xml:space="preserve">, y treinta y cuatro combinan </w:t>
      </w:r>
      <w:proofErr w:type="spellStart"/>
      <w:r>
        <w:rPr>
          <w:rFonts w:ascii="Noto Sans" w:eastAsia="Noto Sans" w:hAnsi="Noto Sans" w:cs="Noto Sans"/>
          <w:sz w:val="20"/>
          <w:szCs w:val="20"/>
        </w:rPr>
        <w:t>estereotaxia</w:t>
      </w:r>
      <w:proofErr w:type="spellEnd"/>
      <w:r>
        <w:rPr>
          <w:rFonts w:ascii="Noto Sans" w:eastAsia="Noto Sans" w:hAnsi="Noto Sans" w:cs="Noto Sans"/>
          <w:sz w:val="20"/>
          <w:szCs w:val="20"/>
        </w:rPr>
        <w:t xml:space="preserve"> y </w:t>
      </w:r>
      <w:proofErr w:type="spellStart"/>
      <w:r>
        <w:rPr>
          <w:rFonts w:ascii="Noto Sans" w:eastAsia="Noto Sans" w:hAnsi="Noto Sans" w:cs="Noto Sans"/>
          <w:sz w:val="20"/>
          <w:szCs w:val="20"/>
        </w:rPr>
        <w:t>tomosíntesis</w:t>
      </w:r>
      <w:proofErr w:type="spellEnd"/>
      <w:r>
        <w:rPr>
          <w:rFonts w:ascii="Noto Sans" w:eastAsia="Noto Sans" w:hAnsi="Noto Sans" w:cs="Noto Sans"/>
          <w:sz w:val="20"/>
          <w:szCs w:val="20"/>
        </w:rPr>
        <w:t>, lo que permitirá obtener imágenes de mayor precisión, así como caracterización detallada de lesiones.</w:t>
      </w:r>
    </w:p>
    <w:p w14:paraId="1965B2A8"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 xml:space="preserve"> </w:t>
      </w:r>
    </w:p>
    <w:p w14:paraId="6D8391B3"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 xml:space="preserve">En cuanto a los tomógrafos, el titular del IMSS reportó que se adquirieron 42 unidades de última generación provenientes de los fabricantes GE </w:t>
      </w:r>
      <w:proofErr w:type="spellStart"/>
      <w:r>
        <w:rPr>
          <w:rFonts w:ascii="Noto Sans" w:eastAsia="Noto Sans" w:hAnsi="Noto Sans" w:cs="Noto Sans"/>
          <w:sz w:val="20"/>
          <w:szCs w:val="20"/>
        </w:rPr>
        <w:t>HealthCare</w:t>
      </w:r>
      <w:proofErr w:type="spellEnd"/>
      <w:r>
        <w:rPr>
          <w:rFonts w:ascii="Noto Sans" w:eastAsia="Noto Sans" w:hAnsi="Noto Sans" w:cs="Noto Sans"/>
          <w:sz w:val="20"/>
          <w:szCs w:val="20"/>
        </w:rPr>
        <w:t xml:space="preserve">, de Estados Unidos, y Fujifilm, de Japón. Cuarenta y un tomógrafos son de 256 cortes y ofrecen estudios de alta precisión en Cardiología, Neurología, Neumología y Oncología. Serán instalados en 40 hospitales en 19 estados.  </w:t>
      </w:r>
    </w:p>
    <w:p w14:paraId="6B79627B"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 xml:space="preserve"> </w:t>
      </w:r>
    </w:p>
    <w:p w14:paraId="2AC3FC99"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Zoé Robledo aclaró que el tomógrafo restante, de 64 cortes, se instalará en la Unidad Médica de Alta Especialidad (UMAE) Magdalena de las Salinas, tecnología que permitirá mejorar la identificación de tumores, fracturas, hemorragias internas y lesiones en órganos con un nivel de detalle superior.</w:t>
      </w:r>
    </w:p>
    <w:p w14:paraId="3BBE536C"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 xml:space="preserve"> </w:t>
      </w:r>
    </w:p>
    <w:p w14:paraId="0F9327E9"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 xml:space="preserve">Explicó que en la adquisición se incluyen también 12 resonancias magnéticas que serán instaladas en el mismo número de hospitales en ocho entidades, de la marca Philips, fabricadas en los Países Bajos. Seis de ellas corresponden al modelo Ingenia </w:t>
      </w:r>
      <w:proofErr w:type="spellStart"/>
      <w:r>
        <w:rPr>
          <w:rFonts w:ascii="Noto Sans" w:eastAsia="Noto Sans" w:hAnsi="Noto Sans" w:cs="Noto Sans"/>
          <w:sz w:val="20"/>
          <w:szCs w:val="20"/>
        </w:rPr>
        <w:t>Ambition</w:t>
      </w:r>
      <w:proofErr w:type="spellEnd"/>
      <w:r>
        <w:rPr>
          <w:rFonts w:ascii="Noto Sans" w:eastAsia="Noto Sans" w:hAnsi="Noto Sans" w:cs="Noto Sans"/>
          <w:sz w:val="20"/>
          <w:szCs w:val="20"/>
        </w:rPr>
        <w:t xml:space="preserve"> X, de 1.5 Teslas, que se instalarán en hospitales de Tijuana, Tlajomulco, Tecámac, Metepec, Charo y Torreón; las otras seis, del modelo Ingenia </w:t>
      </w:r>
      <w:proofErr w:type="spellStart"/>
      <w:r>
        <w:rPr>
          <w:rFonts w:ascii="Noto Sans" w:eastAsia="Noto Sans" w:hAnsi="Noto Sans" w:cs="Noto Sans"/>
          <w:sz w:val="20"/>
          <w:szCs w:val="20"/>
        </w:rPr>
        <w:t>Elition</w:t>
      </w:r>
      <w:proofErr w:type="spellEnd"/>
      <w:r>
        <w:rPr>
          <w:rFonts w:ascii="Noto Sans" w:eastAsia="Noto Sans" w:hAnsi="Noto Sans" w:cs="Noto Sans"/>
          <w:sz w:val="20"/>
          <w:szCs w:val="20"/>
        </w:rPr>
        <w:t xml:space="preserve"> X, de 3.0 Teslas, se ubicarán en hospitales de alta especialidad de los Centros Médicos Nacionales de La Raza, Siglo XXI, Monterrey, Obregón, y una unidad médica de Reynosa.</w:t>
      </w:r>
    </w:p>
    <w:p w14:paraId="1B6EC8AC"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 xml:space="preserve"> </w:t>
      </w:r>
    </w:p>
    <w:p w14:paraId="04153CB7"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 xml:space="preserve">Precisó que estas resonancias permitirán una visualización más detallada de estructuras cerebrales, estudios avanzados de función cardiaca, análisis musculoesquelético y una caracterización más precisa de </w:t>
      </w:r>
      <w:r>
        <w:rPr>
          <w:rFonts w:ascii="Noto Sans" w:eastAsia="Noto Sans" w:hAnsi="Noto Sans" w:cs="Noto Sans"/>
          <w:sz w:val="20"/>
          <w:szCs w:val="20"/>
        </w:rPr>
        <w:lastRenderedPageBreak/>
        <w:t>tumores en los pacientes.</w:t>
      </w:r>
    </w:p>
    <w:p w14:paraId="3DC6DDDF"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 xml:space="preserve"> </w:t>
      </w:r>
    </w:p>
    <w:p w14:paraId="113A7FFE" w14:textId="77777777" w:rsidR="008975CA" w:rsidRDefault="000E7EF0">
      <w:pPr>
        <w:widowControl w:val="0"/>
        <w:jc w:val="both"/>
        <w:rPr>
          <w:rFonts w:ascii="Noto Sans" w:eastAsia="Noto Sans" w:hAnsi="Noto Sans" w:cs="Noto Sans"/>
          <w:sz w:val="20"/>
          <w:szCs w:val="20"/>
        </w:rPr>
      </w:pPr>
      <w:r>
        <w:rPr>
          <w:rFonts w:ascii="Noto Sans" w:eastAsia="Noto Sans" w:hAnsi="Noto Sans" w:cs="Noto Sans"/>
          <w:sz w:val="20"/>
          <w:szCs w:val="20"/>
        </w:rPr>
        <w:t xml:space="preserve">El director general del Seguro Social refirió que los dos </w:t>
      </w:r>
      <w:proofErr w:type="spellStart"/>
      <w:r>
        <w:rPr>
          <w:rFonts w:ascii="Noto Sans" w:eastAsia="Noto Sans" w:hAnsi="Noto Sans" w:cs="Noto Sans"/>
          <w:sz w:val="20"/>
          <w:szCs w:val="20"/>
        </w:rPr>
        <w:t>angiógrafos</w:t>
      </w:r>
      <w:proofErr w:type="spellEnd"/>
      <w:r>
        <w:rPr>
          <w:rFonts w:ascii="Noto Sans" w:eastAsia="Noto Sans" w:hAnsi="Noto Sans" w:cs="Noto Sans"/>
          <w:sz w:val="20"/>
          <w:szCs w:val="20"/>
        </w:rPr>
        <w:t xml:space="preserve"> arco </w:t>
      </w:r>
      <w:proofErr w:type="spellStart"/>
      <w:r>
        <w:rPr>
          <w:rFonts w:ascii="Noto Sans" w:eastAsia="Noto Sans" w:hAnsi="Noto Sans" w:cs="Noto Sans"/>
          <w:sz w:val="20"/>
          <w:szCs w:val="20"/>
        </w:rPr>
        <w:t>biplanar</w:t>
      </w:r>
      <w:proofErr w:type="spellEnd"/>
      <w:r>
        <w:rPr>
          <w:rFonts w:ascii="Noto Sans" w:eastAsia="Noto Sans" w:hAnsi="Noto Sans" w:cs="Noto Sans"/>
          <w:sz w:val="20"/>
          <w:szCs w:val="20"/>
        </w:rPr>
        <w:t xml:space="preserve"> pediátricos, fabricados por Canon, se destinarán al Hospital de Cardiología en Monterrey y al Hospital de Pediatría de Siglo XXI. Con ellos se fortalecerá el </w:t>
      </w:r>
      <w:proofErr w:type="spellStart"/>
      <w:r>
        <w:rPr>
          <w:rFonts w:ascii="Noto Sans" w:eastAsia="Noto Sans" w:hAnsi="Noto Sans" w:cs="Noto Sans"/>
          <w:sz w:val="20"/>
          <w:szCs w:val="20"/>
        </w:rPr>
        <w:t>neurointervencionismo</w:t>
      </w:r>
      <w:proofErr w:type="spellEnd"/>
      <w:r>
        <w:rPr>
          <w:rFonts w:ascii="Noto Sans" w:eastAsia="Noto Sans" w:hAnsi="Noto Sans" w:cs="Noto Sans"/>
          <w:sz w:val="20"/>
          <w:szCs w:val="20"/>
        </w:rPr>
        <w:t xml:space="preserve"> pediátrico y la cardiología intervencionista dirigida a corregir cardiopatías congénitas y atender malformaciones arteriovenosas, aneurismas y patologías congénitas complejas.</w:t>
      </w:r>
    </w:p>
    <w:p w14:paraId="0C4CEDCC" w14:textId="77777777" w:rsidR="008975CA" w:rsidRDefault="008975CA">
      <w:pPr>
        <w:jc w:val="both"/>
        <w:rPr>
          <w:rFonts w:ascii="Noto Sans" w:eastAsia="Noto Sans" w:hAnsi="Noto Sans" w:cs="Noto Sans"/>
          <w:sz w:val="20"/>
          <w:szCs w:val="20"/>
        </w:rPr>
      </w:pPr>
    </w:p>
    <w:p w14:paraId="7E4B5943" w14:textId="77777777" w:rsidR="008975CA" w:rsidRDefault="008975CA">
      <w:pPr>
        <w:jc w:val="both"/>
        <w:rPr>
          <w:rFonts w:ascii="Noto Sans" w:eastAsia="Noto Sans" w:hAnsi="Noto Sans" w:cs="Noto Sans"/>
          <w:sz w:val="20"/>
          <w:szCs w:val="20"/>
        </w:rPr>
      </w:pPr>
    </w:p>
    <w:p w14:paraId="2BAC5B59" w14:textId="77777777" w:rsidR="008975CA" w:rsidRDefault="000E7EF0">
      <w:pPr>
        <w:jc w:val="center"/>
        <w:rPr>
          <w:rFonts w:ascii="Noto Sans" w:eastAsia="Noto Sans" w:hAnsi="Noto Sans" w:cs="Noto Sans"/>
          <w:b/>
          <w:bCs/>
          <w:sz w:val="20"/>
          <w:szCs w:val="20"/>
        </w:rPr>
      </w:pPr>
      <w:r>
        <w:rPr>
          <w:rFonts w:ascii="Noto Sans" w:eastAsia="Noto Sans" w:hAnsi="Noto Sans" w:cs="Noto Sans"/>
          <w:b/>
          <w:bCs/>
          <w:sz w:val="20"/>
          <w:szCs w:val="20"/>
        </w:rPr>
        <w:t>---o0o---</w:t>
      </w:r>
    </w:p>
    <w:p w14:paraId="27518054" w14:textId="77777777" w:rsidR="007D3900" w:rsidRDefault="007D3900">
      <w:pPr>
        <w:jc w:val="center"/>
        <w:rPr>
          <w:rFonts w:ascii="Noto Sans" w:eastAsia="Noto Sans" w:hAnsi="Noto Sans" w:cs="Noto Sans"/>
          <w:b/>
          <w:bCs/>
          <w:sz w:val="20"/>
          <w:szCs w:val="20"/>
        </w:rPr>
      </w:pPr>
    </w:p>
    <w:p w14:paraId="4416C900" w14:textId="77777777" w:rsidR="007D3900" w:rsidRDefault="007D3900">
      <w:pPr>
        <w:jc w:val="center"/>
        <w:rPr>
          <w:rFonts w:ascii="Noto Sans" w:eastAsia="Noto Sans" w:hAnsi="Noto Sans" w:cs="Noto Sans"/>
          <w:b/>
          <w:bCs/>
          <w:sz w:val="20"/>
          <w:szCs w:val="20"/>
        </w:rPr>
      </w:pPr>
    </w:p>
    <w:p w14:paraId="585EFA27" w14:textId="77777777" w:rsidR="007D3900" w:rsidRPr="007D3900" w:rsidRDefault="007D3900" w:rsidP="007D3900">
      <w:pPr>
        <w:jc w:val="both"/>
        <w:rPr>
          <w:rFonts w:ascii="Noto Sans" w:eastAsia="Noto Sans" w:hAnsi="Noto Sans" w:cs="Noto Sans"/>
          <w:b/>
          <w:bCs/>
          <w:sz w:val="22"/>
          <w:szCs w:val="22"/>
        </w:rPr>
      </w:pPr>
      <w:r w:rsidRPr="007D3900">
        <w:rPr>
          <w:rFonts w:ascii="Segoe UI Emoji" w:eastAsia="Noto Sans" w:hAnsi="Segoe UI Emoji" w:cs="Segoe UI Emoji"/>
          <w:b/>
          <w:bCs/>
          <w:sz w:val="22"/>
          <w:szCs w:val="22"/>
        </w:rPr>
        <w:t>📸</w:t>
      </w:r>
      <w:r w:rsidRPr="007D3900">
        <w:rPr>
          <w:rFonts w:ascii="Noto Sans" w:eastAsia="Noto Sans" w:hAnsi="Noto Sans" w:cs="Noto Sans"/>
          <w:b/>
          <w:bCs/>
          <w:sz w:val="22"/>
          <w:szCs w:val="22"/>
        </w:rPr>
        <w:t xml:space="preserve"> </w:t>
      </w:r>
      <w:proofErr w:type="gramStart"/>
      <w:r w:rsidRPr="007D3900">
        <w:rPr>
          <w:rFonts w:ascii="Noto Sans" w:eastAsia="Noto Sans" w:hAnsi="Noto Sans" w:cs="Noto Sans"/>
          <w:b/>
          <w:bCs/>
          <w:sz w:val="22"/>
          <w:szCs w:val="22"/>
        </w:rPr>
        <w:t>LINK</w:t>
      </w:r>
      <w:proofErr w:type="gramEnd"/>
      <w:r w:rsidRPr="007D3900">
        <w:rPr>
          <w:rFonts w:ascii="Noto Sans" w:eastAsia="Noto Sans" w:hAnsi="Noto Sans" w:cs="Noto Sans"/>
          <w:b/>
          <w:bCs/>
          <w:sz w:val="22"/>
          <w:szCs w:val="22"/>
        </w:rPr>
        <w:t xml:space="preserve"> DE FOTOS</w:t>
      </w:r>
    </w:p>
    <w:p w14:paraId="4EAF8235" w14:textId="173C7546" w:rsidR="007D3900" w:rsidRPr="007D3900" w:rsidRDefault="007D3900" w:rsidP="007D3900">
      <w:pPr>
        <w:jc w:val="both"/>
        <w:rPr>
          <w:rFonts w:ascii="Noto Sans" w:eastAsia="Noto Sans" w:hAnsi="Noto Sans" w:cs="Noto Sans"/>
          <w:b/>
          <w:bCs/>
          <w:sz w:val="22"/>
          <w:szCs w:val="22"/>
        </w:rPr>
      </w:pPr>
      <w:hyperlink r:id="rId7" w:history="1">
        <w:r w:rsidRPr="00702216">
          <w:rPr>
            <w:rStyle w:val="Hipervnculo"/>
            <w:rFonts w:ascii="Noto Sans" w:eastAsia="Noto Sans" w:hAnsi="Noto Sans" w:cs="Noto Sans"/>
            <w:b/>
            <w:bCs/>
            <w:sz w:val="22"/>
            <w:szCs w:val="22"/>
          </w:rPr>
          <w:t>https://drive.google.com/drive/folders/1YN7Ob4EbYR27lYUWDYkVJEpb2EmxJ6oV?usp=sharing</w:t>
        </w:r>
      </w:hyperlink>
      <w:r>
        <w:rPr>
          <w:rFonts w:ascii="Noto Sans" w:eastAsia="Noto Sans" w:hAnsi="Noto Sans" w:cs="Noto Sans"/>
          <w:b/>
          <w:bCs/>
          <w:sz w:val="22"/>
          <w:szCs w:val="22"/>
        </w:rPr>
        <w:t xml:space="preserve"> </w:t>
      </w:r>
    </w:p>
    <w:p w14:paraId="3E231581" w14:textId="77777777" w:rsidR="007D3900" w:rsidRPr="007D3900" w:rsidRDefault="007D3900" w:rsidP="007D3900">
      <w:pPr>
        <w:jc w:val="both"/>
        <w:rPr>
          <w:rFonts w:ascii="Noto Sans" w:eastAsia="Noto Sans" w:hAnsi="Noto Sans" w:cs="Noto Sans"/>
          <w:b/>
          <w:bCs/>
          <w:sz w:val="22"/>
          <w:szCs w:val="22"/>
        </w:rPr>
      </w:pPr>
    </w:p>
    <w:p w14:paraId="62FCBF11" w14:textId="77777777" w:rsidR="007D3900" w:rsidRPr="007D3900" w:rsidRDefault="007D3900" w:rsidP="007D3900">
      <w:pPr>
        <w:jc w:val="both"/>
        <w:rPr>
          <w:rFonts w:ascii="Noto Sans" w:eastAsia="Noto Sans" w:hAnsi="Noto Sans" w:cs="Noto Sans"/>
          <w:b/>
          <w:bCs/>
          <w:sz w:val="22"/>
          <w:szCs w:val="22"/>
        </w:rPr>
      </w:pPr>
      <w:r w:rsidRPr="007D3900">
        <w:rPr>
          <w:rFonts w:ascii="Segoe UI Emoji" w:eastAsia="Noto Sans" w:hAnsi="Segoe UI Emoji" w:cs="Segoe UI Emoji"/>
          <w:b/>
          <w:bCs/>
          <w:sz w:val="22"/>
          <w:szCs w:val="22"/>
        </w:rPr>
        <w:t>📹</w:t>
      </w:r>
      <w:r w:rsidRPr="007D3900">
        <w:rPr>
          <w:rFonts w:ascii="Noto Sans" w:eastAsia="Noto Sans" w:hAnsi="Noto Sans" w:cs="Noto Sans"/>
          <w:b/>
          <w:bCs/>
          <w:sz w:val="22"/>
          <w:szCs w:val="22"/>
        </w:rPr>
        <w:t xml:space="preserve"> </w:t>
      </w:r>
      <w:proofErr w:type="gramStart"/>
      <w:r w:rsidRPr="007D3900">
        <w:rPr>
          <w:rFonts w:ascii="Noto Sans" w:eastAsia="Noto Sans" w:hAnsi="Noto Sans" w:cs="Noto Sans"/>
          <w:b/>
          <w:bCs/>
          <w:sz w:val="22"/>
          <w:szCs w:val="22"/>
        </w:rPr>
        <w:t>LINK</w:t>
      </w:r>
      <w:proofErr w:type="gramEnd"/>
      <w:r w:rsidRPr="007D3900">
        <w:rPr>
          <w:rFonts w:ascii="Noto Sans" w:eastAsia="Noto Sans" w:hAnsi="Noto Sans" w:cs="Noto Sans"/>
          <w:b/>
          <w:bCs/>
          <w:sz w:val="22"/>
          <w:szCs w:val="22"/>
        </w:rPr>
        <w:t xml:space="preserve"> DE VIDEO</w:t>
      </w:r>
    </w:p>
    <w:p w14:paraId="13AA8E8F" w14:textId="602F106B" w:rsidR="007D3900" w:rsidRPr="007D3900" w:rsidRDefault="007D3900" w:rsidP="007D3900">
      <w:pPr>
        <w:jc w:val="both"/>
        <w:rPr>
          <w:rFonts w:ascii="Noto Sans" w:eastAsia="Noto Sans" w:hAnsi="Noto Sans" w:cs="Noto Sans"/>
          <w:b/>
          <w:bCs/>
          <w:sz w:val="22"/>
          <w:szCs w:val="22"/>
        </w:rPr>
      </w:pPr>
      <w:hyperlink r:id="rId8" w:history="1">
        <w:r w:rsidRPr="00702216">
          <w:rPr>
            <w:rStyle w:val="Hipervnculo"/>
            <w:rFonts w:ascii="Noto Sans" w:eastAsia="Noto Sans" w:hAnsi="Noto Sans" w:cs="Noto Sans"/>
            <w:b/>
            <w:bCs/>
            <w:sz w:val="22"/>
            <w:szCs w:val="22"/>
          </w:rPr>
          <w:t>https://sendgb.com/6UBIhQW0yzM</w:t>
        </w:r>
      </w:hyperlink>
      <w:r>
        <w:rPr>
          <w:rFonts w:ascii="Noto Sans" w:eastAsia="Noto Sans" w:hAnsi="Noto Sans" w:cs="Noto Sans"/>
          <w:b/>
          <w:bCs/>
          <w:sz w:val="22"/>
          <w:szCs w:val="22"/>
        </w:rPr>
        <w:t xml:space="preserve"> </w:t>
      </w:r>
    </w:p>
    <w:sectPr w:rsidR="007D3900" w:rsidRPr="007D3900">
      <w:headerReference w:type="default" r:id="rId9"/>
      <w:pgSz w:w="12240" w:h="15840"/>
      <w:pgMar w:top="2342" w:right="1134" w:bottom="1843"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6F4FA" w14:textId="77777777" w:rsidR="000E7EF0" w:rsidRDefault="000E7EF0">
      <w:r>
        <w:separator/>
      </w:r>
    </w:p>
  </w:endnote>
  <w:endnote w:type="continuationSeparator" w:id="0">
    <w:p w14:paraId="13D0975A" w14:textId="77777777" w:rsidR="000E7EF0" w:rsidRDefault="000E7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797A086-07BF-4C9E-BBC7-E769DD17349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60CFECA-F08A-44F9-9354-ED1EE987ACC8}"/>
    <w:embedBold r:id="rId3" w:fontKey="{590046A3-3F92-4C80-A5ED-9AE0370CF14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12900016-044B-4896-BAFC-EB048A962873}"/>
  </w:font>
  <w:font w:name="Noto Sans">
    <w:charset w:val="00"/>
    <w:family w:val="swiss"/>
    <w:pitch w:val="variable"/>
    <w:sig w:usb0="E00082FF" w:usb1="400078FF" w:usb2="00000021" w:usb3="00000000" w:csb0="0000019F" w:csb1="00000000"/>
    <w:embedRegular r:id="rId5" w:fontKey="{81F65D05-F855-41BA-A583-04C37BCCA9C1}"/>
    <w:embedBold r:id="rId6" w:fontKey="{BFD06877-7CB0-47A6-AD61-3C20955CC50F}"/>
  </w:font>
  <w:font w:name="Geom">
    <w:charset w:val="00"/>
    <w:family w:val="auto"/>
    <w:pitch w:val="default"/>
    <w:embedRegular r:id="rId7" w:fontKey="{5DDE12CE-E4C3-4B8A-8563-B649357B11B9}"/>
  </w:font>
  <w:font w:name="Segoe UI Emoji">
    <w:panose1 w:val="020B0502040204020203"/>
    <w:charset w:val="00"/>
    <w:family w:val="swiss"/>
    <w:pitch w:val="variable"/>
    <w:sig w:usb0="00000003" w:usb1="02000000" w:usb2="08000000" w:usb3="00000000" w:csb0="00000001" w:csb1="00000000"/>
    <w:embedBold r:id="rId8" w:fontKey="{B330CE0A-FADF-41DF-8690-828B0B1FF1E2}"/>
  </w:font>
  <w:font w:name="Cambria">
    <w:panose1 w:val="02040503050406030204"/>
    <w:charset w:val="00"/>
    <w:family w:val="roman"/>
    <w:pitch w:val="variable"/>
    <w:sig w:usb0="E00006FF" w:usb1="420024FF" w:usb2="02000000" w:usb3="00000000" w:csb0="0000019F" w:csb1="00000000"/>
    <w:embedRegular r:id="rId9" w:fontKey="{B9590E90-FB7E-4C70-9A9E-69CB35FBB0D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C6FB7" w14:textId="77777777" w:rsidR="000E7EF0" w:rsidRDefault="000E7EF0">
      <w:r>
        <w:separator/>
      </w:r>
    </w:p>
  </w:footnote>
  <w:footnote w:type="continuationSeparator" w:id="0">
    <w:p w14:paraId="405C8727" w14:textId="77777777" w:rsidR="000E7EF0" w:rsidRDefault="000E7E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7F6AF" w14:textId="77777777" w:rsidR="008975CA" w:rsidRDefault="000E7EF0">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47EC11FC" wp14:editId="467AD09B">
          <wp:simplePos x="0" y="0"/>
          <wp:positionH relativeFrom="column">
            <wp:posOffset>-1080134</wp:posOffset>
          </wp:positionH>
          <wp:positionV relativeFrom="paragraph">
            <wp:posOffset>-441627</wp:posOffset>
          </wp:positionV>
          <wp:extent cx="7825859" cy="10127217"/>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25859" cy="1012721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E078C1"/>
    <w:multiLevelType w:val="multilevel"/>
    <w:tmpl w:val="7068E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29986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5CA"/>
    <w:rsid w:val="000E7EF0"/>
    <w:rsid w:val="00265EA1"/>
    <w:rsid w:val="005676CA"/>
    <w:rsid w:val="007D3900"/>
    <w:rsid w:val="008975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F4517"/>
  <w15:docId w15:val="{AECBEC05-FFC7-4355-8D71-15239DA0C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unhideWhenUsed/>
    <w:rsid w:val="007D3900"/>
    <w:rPr>
      <w:color w:val="0000FF" w:themeColor="hyperlink"/>
      <w:u w:val="single"/>
    </w:rPr>
  </w:style>
  <w:style w:type="character" w:styleId="Mencinsinresolver">
    <w:name w:val="Unresolved Mention"/>
    <w:basedOn w:val="Fuentedeprrafopredeter"/>
    <w:uiPriority w:val="99"/>
    <w:semiHidden/>
    <w:unhideWhenUsed/>
    <w:rsid w:val="007D39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endgb.com/6UBIhQW0yzM" TargetMode="External"/><Relationship Id="rId3" Type="http://schemas.openxmlformats.org/officeDocument/2006/relationships/settings" Target="settings.xml"/><Relationship Id="rId7" Type="http://schemas.openxmlformats.org/officeDocument/2006/relationships/hyperlink" Target="https://drive.google.com/drive/folders/1YN7Ob4EbYR27lYUWDYkVJEpb2EmxJ6oV?usp=sha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998</Words>
  <Characters>5491</Characters>
  <Application>Microsoft Office Word</Application>
  <DocSecurity>0</DocSecurity>
  <Lines>45</Lines>
  <Paragraphs>12</Paragraphs>
  <ScaleCrop>false</ScaleCrop>
  <Company/>
  <LinksUpToDate>false</LinksUpToDate>
  <CharactersWithSpaces>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R. Alemán</dc:creator>
  <cp:lastModifiedBy>Luz Maria Rico Jardon</cp:lastModifiedBy>
  <cp:revision>2</cp:revision>
  <dcterms:created xsi:type="dcterms:W3CDTF">2026-01-27T17:01:00Z</dcterms:created>
  <dcterms:modified xsi:type="dcterms:W3CDTF">2026-01-27T17:01:00Z</dcterms:modified>
</cp:coreProperties>
</file>