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61E23B2F" w:rsidR="0030476A" w:rsidRPr="00E37AE9" w:rsidRDefault="004A2714" w:rsidP="00A73D65">
      <w:pPr>
        <w:spacing w:line="360" w:lineRule="auto"/>
        <w:jc w:val="both"/>
        <w:rPr>
          <w:rFonts w:ascii="Noto Sans" w:hAnsi="Noto Sans" w:cs="Noto Sans"/>
          <w:color w:val="000000" w:themeColor="text1"/>
          <w:sz w:val="19"/>
          <w:szCs w:val="19"/>
          <w:lang w:val="es-MX"/>
        </w:rPr>
      </w:pPr>
      <w:r w:rsidRPr="00E37AE9">
        <w:rPr>
          <w:rFonts w:ascii="Geomanist" w:hAnsi="Geomanist"/>
          <w:noProof/>
          <w:color w:val="000000" w:themeColor="text1"/>
          <w:sz w:val="21"/>
          <w:szCs w:val="21"/>
          <w:lang w:val="es-MX" w:eastAsia="es-MX"/>
        </w:rPr>
        <mc:AlternateContent>
          <mc:Choice Requires="wps">
            <w:drawing>
              <wp:anchor distT="0" distB="0" distL="114300" distR="114300" simplePos="0" relativeHeight="251660288" behindDoc="0" locked="0" layoutInCell="1" allowOverlap="1" wp14:anchorId="1A4F6F4B" wp14:editId="4819ECDC">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3661AE0" w14:textId="77777777" w:rsidR="0090279C" w:rsidRDefault="004A2714" w:rsidP="0090279C">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380C5530" w14:textId="554EC009" w:rsidR="00832F97" w:rsidRDefault="00832F97" w:rsidP="0090279C">
                            <w:pPr>
                              <w:spacing w:before="120" w:after="40" w:line="220" w:lineRule="exact"/>
                              <w:jc w:val="right"/>
                              <w:rPr>
                                <w:rFonts w:ascii="Noto Sans" w:eastAsia="Montserrat Medium"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 xml:space="preserve">, </w:t>
                            </w:r>
                            <w:r w:rsidR="00580EF0">
                              <w:rPr>
                                <w:rFonts w:ascii="Noto Sans" w:eastAsia="Montserrat Medium" w:hAnsi="Noto Sans" w:cs="Noto Sans"/>
                                <w:sz w:val="20"/>
                                <w:szCs w:val="20"/>
                              </w:rPr>
                              <w:t>miércoles 19</w:t>
                            </w:r>
                            <w:r w:rsidR="001A7BE6">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90279C">
                              <w:rPr>
                                <w:rFonts w:ascii="Noto Sans" w:eastAsia="Montserrat Medium" w:hAnsi="Noto Sans" w:cs="Noto Sans"/>
                                <w:sz w:val="20"/>
                                <w:szCs w:val="20"/>
                              </w:rPr>
                              <w:t>febrero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47145B">
                              <w:rPr>
                                <w:rFonts w:ascii="Noto Sans" w:eastAsia="Montserrat Medium" w:hAnsi="Noto Sans" w:cs="Noto Sans"/>
                                <w:sz w:val="20"/>
                                <w:szCs w:val="20"/>
                              </w:rPr>
                              <w:t>No.092/</w:t>
                            </w:r>
                            <w:r>
                              <w:rPr>
                                <w:rFonts w:ascii="Noto Sans" w:eastAsia="Montserrat Medium" w:hAnsi="Noto Sans" w:cs="Noto Sans"/>
                                <w:sz w:val="20"/>
                                <w:szCs w:val="20"/>
                              </w:rPr>
                              <w:t>2025</w:t>
                            </w:r>
                          </w:p>
                          <w:p w14:paraId="27C1B513" w14:textId="6669C227" w:rsidR="005B52A4" w:rsidRPr="0090279C" w:rsidRDefault="008563FE" w:rsidP="0090279C">
                            <w:pPr>
                              <w:spacing w:before="120" w:after="40" w:line="220" w:lineRule="exact"/>
                              <w:jc w:val="right"/>
                              <w:rPr>
                                <w:rFonts w:ascii="Noto Sans" w:hAnsi="Noto Sans" w:cs="Noto Sans"/>
                                <w:color w:val="BA8C54"/>
                                <w:sz w:val="28"/>
                                <w:szCs w:val="28"/>
                              </w:rPr>
                            </w:pPr>
                            <w:r>
                              <w:rPr>
                                <w:rFonts w:ascii="Noto Sans" w:eastAsia="Montserrat Medium" w:hAnsi="Noto Sans" w:cs="Noto Sans"/>
                                <w:sz w:val="20"/>
                                <w:szCs w:val="20"/>
                              </w:rPr>
                              <w:t xml:space="preserve">No. </w:t>
                            </w:r>
                            <w:r w:rsidR="00E37AE9">
                              <w:rPr>
                                <w:rFonts w:ascii="Noto Sans" w:eastAsia="Montserrat Medium" w:hAnsi="Noto Sans" w:cs="Noto Sans"/>
                                <w:sz w:val="20"/>
                                <w:szCs w:val="20"/>
                              </w:rPr>
                              <w:t>092</w:t>
                            </w:r>
                            <w:r>
                              <w:rPr>
                                <w:rFonts w:ascii="Noto Sans" w:eastAsia="Montserrat Medium" w:hAnsi="Noto Sans" w:cs="Noto Sans"/>
                                <w:sz w:val="20"/>
                                <w:szCs w:val="20"/>
                              </w:rPr>
                              <w:t>/</w:t>
                            </w:r>
                            <w:r w:rsidR="00DA1B19" w:rsidRPr="004E0D31">
                              <w:rPr>
                                <w:rFonts w:ascii="Noto Sans" w:eastAsia="Montserrat Medium" w:hAnsi="Noto Sans" w:cs="Noto Sans"/>
                                <w:sz w:val="20"/>
                                <w:szCs w:val="20"/>
                              </w:rPr>
                              <w:t>202</w:t>
                            </w:r>
                            <w:r w:rsidR="004A2714">
                              <w:rPr>
                                <w:rFonts w:ascii="Noto Sans" w:eastAsia="Montserrat Medium" w:hAnsi="Noto Sans" w:cs="Noto Sans"/>
                                <w:sz w:val="20"/>
                                <w:szCs w:val="20"/>
                              </w:rPr>
                              <w:t>5</w:t>
                            </w:r>
                          </w:p>
                          <w:p w14:paraId="5C1C7F70" w14:textId="29DEFFAD"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126108">
                              <w:rPr>
                                <w:rFonts w:ascii="Noto Sans" w:eastAsia="Montserrat Medium" w:hAnsi="Noto Sans" w:cs="Noto Sans"/>
                                <w:sz w:val="20"/>
                                <w:szCs w:val="20"/>
                              </w:rPr>
                              <w:t>000</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3661AE0" w14:textId="77777777" w:rsidR="0090279C" w:rsidRDefault="004A2714" w:rsidP="0090279C">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380C5530" w14:textId="554EC009" w:rsidR="00832F97" w:rsidRDefault="00832F97" w:rsidP="0090279C">
                      <w:pPr>
                        <w:spacing w:before="120" w:after="40" w:line="220" w:lineRule="exact"/>
                        <w:jc w:val="right"/>
                        <w:rPr>
                          <w:rFonts w:ascii="Noto Sans" w:eastAsia="Montserrat Medium"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 xml:space="preserve">, </w:t>
                      </w:r>
                      <w:r w:rsidR="00580EF0">
                        <w:rPr>
                          <w:rFonts w:ascii="Noto Sans" w:eastAsia="Montserrat Medium" w:hAnsi="Noto Sans" w:cs="Noto Sans"/>
                          <w:sz w:val="20"/>
                          <w:szCs w:val="20"/>
                        </w:rPr>
                        <w:t>miércoles 19</w:t>
                      </w:r>
                      <w:r w:rsidR="001A7BE6">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90279C">
                        <w:rPr>
                          <w:rFonts w:ascii="Noto Sans" w:eastAsia="Montserrat Medium" w:hAnsi="Noto Sans" w:cs="Noto Sans"/>
                          <w:sz w:val="20"/>
                          <w:szCs w:val="20"/>
                        </w:rPr>
                        <w:t>febrero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 xml:space="preserve">de </w:t>
                      </w:r>
                      <w:r w:rsidR="0047145B">
                        <w:rPr>
                          <w:rFonts w:ascii="Noto Sans" w:eastAsia="Montserrat Medium" w:hAnsi="Noto Sans" w:cs="Noto Sans"/>
                          <w:sz w:val="20"/>
                          <w:szCs w:val="20"/>
                        </w:rPr>
                        <w:t>No.092/</w:t>
                      </w:r>
                      <w:r>
                        <w:rPr>
                          <w:rFonts w:ascii="Noto Sans" w:eastAsia="Montserrat Medium" w:hAnsi="Noto Sans" w:cs="Noto Sans"/>
                          <w:sz w:val="20"/>
                          <w:szCs w:val="20"/>
                        </w:rPr>
                        <w:t>2025</w:t>
                      </w:r>
                    </w:p>
                    <w:p w14:paraId="27C1B513" w14:textId="6669C227" w:rsidR="005B52A4" w:rsidRPr="0090279C" w:rsidRDefault="008563FE" w:rsidP="0090279C">
                      <w:pPr>
                        <w:spacing w:before="120" w:after="40" w:line="220" w:lineRule="exact"/>
                        <w:jc w:val="right"/>
                        <w:rPr>
                          <w:rFonts w:ascii="Noto Sans" w:hAnsi="Noto Sans" w:cs="Noto Sans"/>
                          <w:color w:val="BA8C54"/>
                          <w:sz w:val="28"/>
                          <w:szCs w:val="28"/>
                        </w:rPr>
                      </w:pPr>
                      <w:r>
                        <w:rPr>
                          <w:rFonts w:ascii="Noto Sans" w:eastAsia="Montserrat Medium" w:hAnsi="Noto Sans" w:cs="Noto Sans"/>
                          <w:sz w:val="20"/>
                          <w:szCs w:val="20"/>
                        </w:rPr>
                        <w:t xml:space="preserve">No. </w:t>
                      </w:r>
                      <w:r w:rsidR="00E37AE9">
                        <w:rPr>
                          <w:rFonts w:ascii="Noto Sans" w:eastAsia="Montserrat Medium" w:hAnsi="Noto Sans" w:cs="Noto Sans"/>
                          <w:sz w:val="20"/>
                          <w:szCs w:val="20"/>
                        </w:rPr>
                        <w:t>092</w:t>
                      </w:r>
                      <w:r>
                        <w:rPr>
                          <w:rFonts w:ascii="Noto Sans" w:eastAsia="Montserrat Medium" w:hAnsi="Noto Sans" w:cs="Noto Sans"/>
                          <w:sz w:val="20"/>
                          <w:szCs w:val="20"/>
                        </w:rPr>
                        <w:t>/</w:t>
                      </w:r>
                      <w:r w:rsidR="00DA1B19" w:rsidRPr="004E0D31">
                        <w:rPr>
                          <w:rFonts w:ascii="Noto Sans" w:eastAsia="Montserrat Medium" w:hAnsi="Noto Sans" w:cs="Noto Sans"/>
                          <w:sz w:val="20"/>
                          <w:szCs w:val="20"/>
                        </w:rPr>
                        <w:t>202</w:t>
                      </w:r>
                      <w:r w:rsidR="004A2714">
                        <w:rPr>
                          <w:rFonts w:ascii="Noto Sans" w:eastAsia="Montserrat Medium" w:hAnsi="Noto Sans" w:cs="Noto Sans"/>
                          <w:sz w:val="20"/>
                          <w:szCs w:val="20"/>
                        </w:rPr>
                        <w:t>5</w:t>
                      </w:r>
                    </w:p>
                    <w:p w14:paraId="5C1C7F70" w14:textId="29DEFFAD" w:rsidR="00DA1B19" w:rsidRPr="004E0D31" w:rsidRDefault="005B52A4"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 xml:space="preserve">No. </w:t>
                      </w:r>
                      <w:r w:rsidR="00126108">
                        <w:rPr>
                          <w:rFonts w:ascii="Noto Sans" w:eastAsia="Montserrat Medium" w:hAnsi="Noto Sans" w:cs="Noto Sans"/>
                          <w:sz w:val="20"/>
                          <w:szCs w:val="20"/>
                        </w:rPr>
                        <w:t>000</w:t>
                      </w:r>
                      <w:r>
                        <w:rPr>
                          <w:rFonts w:ascii="Noto Sans" w:eastAsia="Montserrat Medium" w:hAnsi="Noto Sans" w:cs="Noto Sans"/>
                          <w:sz w:val="20"/>
                          <w:szCs w:val="20"/>
                        </w:rPr>
                        <w:t>/2025</w:t>
                      </w:r>
                      <w:r w:rsidR="00DA1B19" w:rsidRPr="004E0D31">
                        <w:rPr>
                          <w:rFonts w:ascii="Noto Sans" w:hAnsi="Noto Sans" w:cs="Noto Sans"/>
                          <w:sz w:val="20"/>
                          <w:szCs w:val="20"/>
                        </w:rPr>
                        <w:t xml:space="preserve"> </w:t>
                      </w:r>
                    </w:p>
                  </w:txbxContent>
                </v:textbox>
                <w10:wrap type="square"/>
              </v:shape>
            </w:pict>
          </mc:Fallback>
        </mc:AlternateContent>
      </w:r>
      <w:r w:rsidR="00A73D65" w:rsidRPr="00E37AE9">
        <w:rPr>
          <w:rFonts w:ascii="Geomanist" w:hAnsi="Geomanist"/>
          <w:color w:val="000000" w:themeColor="text1"/>
          <w:sz w:val="21"/>
          <w:szCs w:val="21"/>
          <w:lang w:val="es-MX"/>
        </w:rPr>
        <w:t xml:space="preserve"> </w:t>
      </w:r>
    </w:p>
    <w:p w14:paraId="323893EE" w14:textId="0730CFDF" w:rsidR="00330DC8" w:rsidRPr="00E37AE9" w:rsidRDefault="00330DC8" w:rsidP="00A73D65">
      <w:pPr>
        <w:spacing w:line="360" w:lineRule="auto"/>
        <w:jc w:val="both"/>
        <w:rPr>
          <w:rFonts w:ascii="Noto Sans" w:hAnsi="Noto Sans" w:cs="Noto Sans"/>
          <w:color w:val="000000" w:themeColor="text1"/>
          <w:sz w:val="19"/>
          <w:szCs w:val="19"/>
          <w:lang w:val="es-MX"/>
        </w:rPr>
      </w:pPr>
    </w:p>
    <w:p w14:paraId="59E3A062" w14:textId="63C6EF96" w:rsidR="00330DC8" w:rsidRPr="00E37AE9" w:rsidRDefault="00330DC8" w:rsidP="00A73D65">
      <w:pPr>
        <w:spacing w:line="360" w:lineRule="auto"/>
        <w:jc w:val="both"/>
        <w:rPr>
          <w:rFonts w:ascii="Noto Sans" w:hAnsi="Noto Sans" w:cs="Noto Sans"/>
          <w:color w:val="000000" w:themeColor="text1"/>
          <w:sz w:val="19"/>
          <w:szCs w:val="19"/>
          <w:lang w:val="es-MX"/>
        </w:rPr>
      </w:pPr>
    </w:p>
    <w:p w14:paraId="4473D9BE" w14:textId="50E3E41D" w:rsidR="00224C3B" w:rsidRPr="00E37AE9" w:rsidRDefault="00832F97" w:rsidP="007174C2">
      <w:pPr>
        <w:jc w:val="center"/>
        <w:rPr>
          <w:rFonts w:ascii="Noto Sans" w:hAnsi="Noto Sans" w:cs="Noto Sans"/>
          <w:b/>
          <w:bCs/>
          <w:color w:val="000000" w:themeColor="text1"/>
          <w:sz w:val="32"/>
          <w:szCs w:val="32"/>
        </w:rPr>
      </w:pPr>
      <w:r w:rsidRPr="00E37AE9">
        <w:rPr>
          <w:rFonts w:ascii="Noto Sans" w:hAnsi="Noto Sans" w:cs="Noto Sans"/>
          <w:b/>
          <w:bCs/>
          <w:color w:val="000000" w:themeColor="text1"/>
          <w:sz w:val="32"/>
          <w:szCs w:val="32"/>
        </w:rPr>
        <w:t>Más de 2 mil especialistas en Estomatología del IMSS atienden los principales problemas de salud bucal</w:t>
      </w:r>
    </w:p>
    <w:p w14:paraId="26D6CE24" w14:textId="77777777" w:rsidR="007174C2" w:rsidRPr="00E37AE9" w:rsidRDefault="007174C2" w:rsidP="007174C2">
      <w:pPr>
        <w:jc w:val="center"/>
        <w:rPr>
          <w:rFonts w:ascii="Noto Sans" w:hAnsi="Noto Sans" w:cs="Noto Sans"/>
          <w:color w:val="000000" w:themeColor="text1"/>
          <w:sz w:val="19"/>
          <w:szCs w:val="19"/>
        </w:rPr>
      </w:pPr>
    </w:p>
    <w:p w14:paraId="0C7A4F36" w14:textId="59E947BF" w:rsidR="007174C2" w:rsidRPr="00E37AE9" w:rsidRDefault="00832F97" w:rsidP="007174C2">
      <w:pPr>
        <w:pStyle w:val="Prrafodelista"/>
        <w:numPr>
          <w:ilvl w:val="0"/>
          <w:numId w:val="1"/>
        </w:numPr>
        <w:ind w:right="49"/>
        <w:jc w:val="both"/>
        <w:rPr>
          <w:rFonts w:ascii="Noto Sans" w:hAnsi="Noto Sans" w:cs="Noto Sans"/>
          <w:b/>
          <w:bCs/>
          <w:color w:val="000000" w:themeColor="text1"/>
          <w:sz w:val="20"/>
          <w:szCs w:val="20"/>
        </w:rPr>
      </w:pPr>
      <w:r w:rsidRPr="00E37AE9">
        <w:rPr>
          <w:rFonts w:ascii="Noto Sans" w:hAnsi="Noto Sans" w:cs="Noto Sans"/>
          <w:b/>
          <w:bCs/>
          <w:color w:val="000000" w:themeColor="text1"/>
          <w:sz w:val="20"/>
          <w:szCs w:val="20"/>
        </w:rPr>
        <w:t xml:space="preserve">Se otorga atención en salud bucodental a pacientes con caries, enfermedades periodontales, gingivitis, fracturas dentales, extracciones, entre otras. </w:t>
      </w:r>
      <w:r w:rsidR="007174C2" w:rsidRPr="00E37AE9">
        <w:rPr>
          <w:rFonts w:ascii="Noto Sans" w:hAnsi="Noto Sans" w:cs="Noto Sans"/>
          <w:b/>
          <w:bCs/>
          <w:color w:val="000000" w:themeColor="text1"/>
          <w:sz w:val="20"/>
          <w:szCs w:val="20"/>
        </w:rPr>
        <w:t xml:space="preserve"> </w:t>
      </w:r>
    </w:p>
    <w:p w14:paraId="3D0F3375" w14:textId="59DF343E" w:rsidR="007174C2" w:rsidRPr="00E37AE9" w:rsidRDefault="00832F97" w:rsidP="007174C2">
      <w:pPr>
        <w:pStyle w:val="Prrafodelista"/>
        <w:numPr>
          <w:ilvl w:val="0"/>
          <w:numId w:val="1"/>
        </w:numPr>
        <w:ind w:right="49"/>
        <w:jc w:val="both"/>
        <w:rPr>
          <w:rFonts w:ascii="Noto Sans" w:hAnsi="Noto Sans" w:cs="Noto Sans"/>
          <w:b/>
          <w:bCs/>
          <w:color w:val="000000" w:themeColor="text1"/>
          <w:sz w:val="20"/>
          <w:szCs w:val="20"/>
        </w:rPr>
      </w:pPr>
      <w:r w:rsidRPr="00E37AE9">
        <w:rPr>
          <w:rFonts w:ascii="Noto Sans" w:hAnsi="Noto Sans" w:cs="Noto Sans"/>
          <w:b/>
          <w:bCs/>
          <w:color w:val="000000" w:themeColor="text1"/>
          <w:sz w:val="20"/>
          <w:szCs w:val="20"/>
        </w:rPr>
        <w:t>La mayor causa de pérdida de dientes en los adultos mayores es la caries</w:t>
      </w:r>
      <w:r w:rsidR="005E69CB" w:rsidRPr="00E37AE9">
        <w:rPr>
          <w:rFonts w:ascii="Noto Sans" w:hAnsi="Noto Sans" w:cs="Noto Sans"/>
          <w:b/>
          <w:bCs/>
          <w:color w:val="000000" w:themeColor="text1"/>
          <w:sz w:val="20"/>
          <w:szCs w:val="20"/>
        </w:rPr>
        <w:t xml:space="preserve">; en el Seguro Social se promueven acciones de </w:t>
      </w:r>
      <w:r w:rsidR="00D05052" w:rsidRPr="00E37AE9">
        <w:rPr>
          <w:rFonts w:ascii="Noto Sans" w:hAnsi="Noto Sans" w:cs="Noto Sans"/>
          <w:b/>
          <w:bCs/>
          <w:color w:val="000000" w:themeColor="text1"/>
          <w:sz w:val="20"/>
          <w:szCs w:val="20"/>
        </w:rPr>
        <w:t xml:space="preserve">prevención </w:t>
      </w:r>
      <w:r w:rsidR="005E69CB" w:rsidRPr="00E37AE9">
        <w:rPr>
          <w:rFonts w:ascii="Noto Sans" w:hAnsi="Noto Sans" w:cs="Noto Sans"/>
          <w:b/>
          <w:bCs/>
          <w:color w:val="000000" w:themeColor="text1"/>
          <w:sz w:val="20"/>
          <w:szCs w:val="20"/>
        </w:rPr>
        <w:t xml:space="preserve">como detección de placa dentobacteriana y aplicación tópica de </w:t>
      </w:r>
      <w:r w:rsidR="00D43A6A" w:rsidRPr="00E37AE9">
        <w:rPr>
          <w:rFonts w:ascii="Noto Sans" w:hAnsi="Noto Sans" w:cs="Noto Sans"/>
          <w:b/>
          <w:bCs/>
          <w:color w:val="000000" w:themeColor="text1"/>
          <w:sz w:val="20"/>
          <w:szCs w:val="20"/>
        </w:rPr>
        <w:t>flúor</w:t>
      </w:r>
      <w:r w:rsidR="005E69CB" w:rsidRPr="00E37AE9">
        <w:rPr>
          <w:rFonts w:ascii="Noto Sans" w:hAnsi="Noto Sans" w:cs="Noto Sans"/>
          <w:b/>
          <w:bCs/>
          <w:color w:val="000000" w:themeColor="text1"/>
          <w:sz w:val="20"/>
          <w:szCs w:val="20"/>
        </w:rPr>
        <w:t>.</w:t>
      </w:r>
    </w:p>
    <w:p w14:paraId="2D45D227" w14:textId="77777777" w:rsidR="007174C2" w:rsidRPr="00E37AE9" w:rsidRDefault="007174C2" w:rsidP="001E26A4">
      <w:pPr>
        <w:ind w:right="49"/>
        <w:jc w:val="both"/>
        <w:rPr>
          <w:rFonts w:ascii="Noto Sans" w:hAnsi="Noto Sans" w:cs="Noto Sans"/>
          <w:color w:val="000000" w:themeColor="text1"/>
          <w:sz w:val="20"/>
          <w:szCs w:val="20"/>
        </w:rPr>
      </w:pPr>
    </w:p>
    <w:p w14:paraId="63763442" w14:textId="6C93E3E4" w:rsidR="00050CE2" w:rsidRPr="00E37AE9" w:rsidRDefault="00832F97" w:rsidP="00832F97">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 xml:space="preserve">El Instituto Mexicano del Seguro Social (IMSS) cuenta con más de dos mil estomatólogos, profesionales de la salud que tienen </w:t>
      </w:r>
      <w:r w:rsidR="00806FC1" w:rsidRPr="00E37AE9">
        <w:rPr>
          <w:rFonts w:ascii="Noto Sans" w:hAnsi="Noto Sans" w:cs="Noto Sans"/>
          <w:color w:val="000000" w:themeColor="text1"/>
          <w:sz w:val="22"/>
          <w:szCs w:val="22"/>
        </w:rPr>
        <w:t>a su cargo el diagnóstico, prevención y tratamiento de las principales patologías bucales que afectan a la derechohabiencia, como son caries</w:t>
      </w:r>
      <w:r w:rsidR="00D05052" w:rsidRPr="00E37AE9">
        <w:rPr>
          <w:rFonts w:ascii="Noto Sans" w:hAnsi="Noto Sans" w:cs="Noto Sans"/>
          <w:color w:val="000000" w:themeColor="text1"/>
          <w:sz w:val="22"/>
          <w:szCs w:val="22"/>
        </w:rPr>
        <w:t xml:space="preserve"> dental</w:t>
      </w:r>
      <w:r w:rsidR="00806FC1" w:rsidRPr="00E37AE9">
        <w:rPr>
          <w:rFonts w:ascii="Noto Sans" w:hAnsi="Noto Sans" w:cs="Noto Sans"/>
          <w:color w:val="000000" w:themeColor="text1"/>
          <w:sz w:val="22"/>
          <w:szCs w:val="22"/>
        </w:rPr>
        <w:t>, enfermedades periodontales</w:t>
      </w:r>
      <w:r w:rsidR="00D05052" w:rsidRPr="00E37AE9">
        <w:rPr>
          <w:rFonts w:ascii="Noto Sans" w:hAnsi="Noto Sans" w:cs="Noto Sans"/>
          <w:color w:val="000000" w:themeColor="text1"/>
          <w:sz w:val="22"/>
          <w:szCs w:val="22"/>
        </w:rPr>
        <w:t xml:space="preserve"> </w:t>
      </w:r>
      <w:r w:rsidR="00D43A6A" w:rsidRPr="00E37AE9">
        <w:rPr>
          <w:rFonts w:ascii="Noto Sans" w:hAnsi="Noto Sans" w:cs="Noto Sans"/>
          <w:color w:val="000000" w:themeColor="text1"/>
          <w:sz w:val="22"/>
          <w:szCs w:val="22"/>
        </w:rPr>
        <w:t xml:space="preserve">(enfermedad de las encías) </w:t>
      </w:r>
      <w:r w:rsidR="00D05052" w:rsidRPr="00E37AE9">
        <w:rPr>
          <w:rFonts w:ascii="Noto Sans" w:hAnsi="Noto Sans" w:cs="Noto Sans"/>
          <w:color w:val="000000" w:themeColor="text1"/>
          <w:sz w:val="22"/>
          <w:szCs w:val="22"/>
        </w:rPr>
        <w:t xml:space="preserve">como </w:t>
      </w:r>
      <w:r w:rsidR="00806FC1" w:rsidRPr="00E37AE9">
        <w:rPr>
          <w:rFonts w:ascii="Noto Sans" w:hAnsi="Noto Sans" w:cs="Noto Sans"/>
          <w:color w:val="000000" w:themeColor="text1"/>
          <w:sz w:val="22"/>
          <w:szCs w:val="22"/>
        </w:rPr>
        <w:t>gingivitis</w:t>
      </w:r>
      <w:r w:rsidR="00D05052" w:rsidRPr="00E37AE9">
        <w:rPr>
          <w:rFonts w:ascii="Noto Sans" w:hAnsi="Noto Sans" w:cs="Noto Sans"/>
          <w:color w:val="000000" w:themeColor="text1"/>
          <w:sz w:val="22"/>
          <w:szCs w:val="22"/>
        </w:rPr>
        <w:t xml:space="preserve"> y</w:t>
      </w:r>
      <w:r w:rsidR="00806FC1" w:rsidRPr="00E37AE9">
        <w:rPr>
          <w:rFonts w:ascii="Noto Sans" w:hAnsi="Noto Sans" w:cs="Noto Sans"/>
          <w:color w:val="000000" w:themeColor="text1"/>
          <w:sz w:val="22"/>
          <w:szCs w:val="22"/>
        </w:rPr>
        <w:t xml:space="preserve"> </w:t>
      </w:r>
      <w:r w:rsidR="00D05052" w:rsidRPr="00E37AE9">
        <w:rPr>
          <w:rFonts w:ascii="Noto Sans" w:hAnsi="Noto Sans" w:cs="Noto Sans"/>
          <w:color w:val="000000" w:themeColor="text1"/>
          <w:sz w:val="22"/>
          <w:szCs w:val="22"/>
        </w:rPr>
        <w:t xml:space="preserve">la atención de </w:t>
      </w:r>
      <w:r w:rsidR="00806FC1" w:rsidRPr="00E37AE9">
        <w:rPr>
          <w:rFonts w:ascii="Noto Sans" w:hAnsi="Noto Sans" w:cs="Noto Sans"/>
          <w:color w:val="000000" w:themeColor="text1"/>
          <w:sz w:val="22"/>
          <w:szCs w:val="22"/>
        </w:rPr>
        <w:t>fracturas dentales, entre otras.</w:t>
      </w:r>
    </w:p>
    <w:p w14:paraId="1AB926E9" w14:textId="77777777" w:rsidR="00806FC1" w:rsidRPr="00E37AE9" w:rsidRDefault="00806FC1" w:rsidP="00832F97">
      <w:pPr>
        <w:ind w:right="49"/>
        <w:jc w:val="both"/>
        <w:rPr>
          <w:rFonts w:ascii="Noto Sans" w:hAnsi="Noto Sans" w:cs="Noto Sans"/>
          <w:color w:val="000000" w:themeColor="text1"/>
          <w:sz w:val="22"/>
          <w:szCs w:val="22"/>
        </w:rPr>
      </w:pPr>
    </w:p>
    <w:p w14:paraId="1419291C" w14:textId="2E7E85CE" w:rsidR="00806FC1" w:rsidRPr="00E37AE9" w:rsidRDefault="00806FC1" w:rsidP="00832F97">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 xml:space="preserve">Este personal labora en </w:t>
      </w:r>
      <w:r w:rsidR="001864AD" w:rsidRPr="00E37AE9">
        <w:rPr>
          <w:rFonts w:ascii="Noto Sans" w:hAnsi="Noto Sans" w:cs="Noto Sans"/>
          <w:color w:val="000000" w:themeColor="text1"/>
          <w:sz w:val="22"/>
          <w:szCs w:val="22"/>
        </w:rPr>
        <w:t xml:space="preserve">mil </w:t>
      </w:r>
      <w:r w:rsidR="00D05052" w:rsidRPr="00E37AE9">
        <w:rPr>
          <w:rFonts w:ascii="Noto Sans" w:hAnsi="Noto Sans" w:cs="Noto Sans"/>
          <w:color w:val="000000" w:themeColor="text1"/>
          <w:sz w:val="22"/>
          <w:szCs w:val="22"/>
        </w:rPr>
        <w:t xml:space="preserve">cuarenta y cinco </w:t>
      </w:r>
      <w:r w:rsidRPr="00E37AE9">
        <w:rPr>
          <w:rFonts w:ascii="Noto Sans" w:hAnsi="Noto Sans" w:cs="Noto Sans"/>
          <w:color w:val="000000" w:themeColor="text1"/>
          <w:sz w:val="22"/>
          <w:szCs w:val="22"/>
        </w:rPr>
        <w:t xml:space="preserve">consultorios dentales que se encuentran en </w:t>
      </w:r>
      <w:r w:rsidR="00D05052" w:rsidRPr="00E37AE9">
        <w:rPr>
          <w:rFonts w:ascii="Noto Sans" w:hAnsi="Noto Sans" w:cs="Noto Sans"/>
          <w:color w:val="000000" w:themeColor="text1"/>
          <w:sz w:val="22"/>
          <w:szCs w:val="22"/>
        </w:rPr>
        <w:t xml:space="preserve">707 </w:t>
      </w:r>
      <w:r w:rsidRPr="00E37AE9">
        <w:rPr>
          <w:rFonts w:ascii="Noto Sans" w:hAnsi="Noto Sans" w:cs="Noto Sans"/>
          <w:color w:val="000000" w:themeColor="text1"/>
          <w:sz w:val="22"/>
          <w:szCs w:val="22"/>
        </w:rPr>
        <w:t>Unidades de Medicina Familiar (UMF) y otorgan un promedio de 6.2 millones de consultas al año</w:t>
      </w:r>
      <w:r w:rsidR="00D05052" w:rsidRPr="00E37AE9">
        <w:rPr>
          <w:rFonts w:ascii="Noto Sans" w:hAnsi="Noto Sans" w:cs="Noto Sans"/>
          <w:color w:val="000000" w:themeColor="text1"/>
          <w:sz w:val="22"/>
          <w:szCs w:val="22"/>
        </w:rPr>
        <w:t xml:space="preserve"> con procedimientos de obturación, detartraje y extracciones y de manera complementaria se otorgan </w:t>
      </w:r>
      <w:r w:rsidRPr="00E37AE9">
        <w:rPr>
          <w:rFonts w:ascii="Noto Sans" w:hAnsi="Noto Sans" w:cs="Noto Sans"/>
          <w:color w:val="000000" w:themeColor="text1"/>
          <w:sz w:val="22"/>
          <w:szCs w:val="22"/>
        </w:rPr>
        <w:t xml:space="preserve">acciones preventivas como </w:t>
      </w:r>
      <w:r w:rsidR="001864AD" w:rsidRPr="00E37AE9">
        <w:rPr>
          <w:rFonts w:ascii="Noto Sans" w:hAnsi="Noto Sans" w:cs="Noto Sans"/>
          <w:color w:val="000000" w:themeColor="text1"/>
          <w:sz w:val="22"/>
          <w:szCs w:val="22"/>
        </w:rPr>
        <w:t xml:space="preserve">la </w:t>
      </w:r>
      <w:r w:rsidRPr="00E37AE9">
        <w:rPr>
          <w:rFonts w:ascii="Noto Sans" w:hAnsi="Noto Sans" w:cs="Noto Sans"/>
          <w:color w:val="000000" w:themeColor="text1"/>
          <w:sz w:val="22"/>
          <w:szCs w:val="22"/>
        </w:rPr>
        <w:t>detección de placa dentobacteriana, aplicación tópica de fl</w:t>
      </w:r>
      <w:r w:rsidR="00D05052" w:rsidRPr="00E37AE9">
        <w:rPr>
          <w:rFonts w:ascii="Noto Sans" w:hAnsi="Noto Sans" w:cs="Noto Sans"/>
          <w:color w:val="000000" w:themeColor="text1"/>
          <w:sz w:val="22"/>
          <w:szCs w:val="22"/>
        </w:rPr>
        <w:t>úor</w:t>
      </w:r>
      <w:r w:rsidRPr="00E37AE9">
        <w:rPr>
          <w:rFonts w:ascii="Noto Sans" w:hAnsi="Noto Sans" w:cs="Noto Sans"/>
          <w:color w:val="000000" w:themeColor="text1"/>
          <w:sz w:val="22"/>
          <w:szCs w:val="22"/>
        </w:rPr>
        <w:t>, enseñanza de la técnica de cepillado y del uso de hilo dental.</w:t>
      </w:r>
    </w:p>
    <w:p w14:paraId="6015B356" w14:textId="77777777" w:rsidR="00806FC1" w:rsidRPr="00E37AE9" w:rsidRDefault="00806FC1" w:rsidP="00832F97">
      <w:pPr>
        <w:ind w:right="49"/>
        <w:jc w:val="both"/>
        <w:rPr>
          <w:rFonts w:ascii="Noto Sans" w:hAnsi="Noto Sans" w:cs="Noto Sans"/>
          <w:color w:val="000000" w:themeColor="text1"/>
          <w:sz w:val="22"/>
          <w:szCs w:val="22"/>
        </w:rPr>
      </w:pPr>
    </w:p>
    <w:p w14:paraId="18DCDF13" w14:textId="4798D29A" w:rsidR="00806FC1" w:rsidRPr="00E37AE9" w:rsidRDefault="00806FC1" w:rsidP="00806FC1">
      <w:pPr>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L</w:t>
      </w:r>
      <w:r w:rsidR="008B63B0" w:rsidRPr="00E37AE9">
        <w:rPr>
          <w:rFonts w:ascii="Noto Sans" w:hAnsi="Noto Sans" w:cs="Noto Sans"/>
          <w:color w:val="000000" w:themeColor="text1"/>
          <w:sz w:val="22"/>
          <w:szCs w:val="22"/>
        </w:rPr>
        <w:t xml:space="preserve">a </w:t>
      </w:r>
      <w:r w:rsidR="00D44DC9" w:rsidRPr="00E37AE9">
        <w:rPr>
          <w:rFonts w:ascii="Noto Sans" w:hAnsi="Noto Sans" w:cs="Noto Sans"/>
          <w:color w:val="000000" w:themeColor="text1"/>
          <w:sz w:val="22"/>
          <w:szCs w:val="22"/>
        </w:rPr>
        <w:t xml:space="preserve">estomatóloga </w:t>
      </w:r>
      <w:r w:rsidRPr="00E37AE9">
        <w:rPr>
          <w:rFonts w:ascii="Noto Sans" w:hAnsi="Noto Sans" w:cs="Noto Sans"/>
          <w:color w:val="000000" w:themeColor="text1"/>
          <w:sz w:val="22"/>
          <w:szCs w:val="22"/>
        </w:rPr>
        <w:t>Leticia Retana Ruiz</w:t>
      </w:r>
      <w:r w:rsidR="008B63B0" w:rsidRPr="00E37AE9">
        <w:rPr>
          <w:rFonts w:ascii="Noto Sans" w:hAnsi="Noto Sans" w:cs="Noto Sans"/>
          <w:color w:val="000000" w:themeColor="text1"/>
          <w:sz w:val="22"/>
          <w:szCs w:val="22"/>
        </w:rPr>
        <w:t xml:space="preserve">, </w:t>
      </w:r>
      <w:r w:rsidRPr="00E37AE9">
        <w:rPr>
          <w:rFonts w:ascii="Noto Sans" w:hAnsi="Noto Sans" w:cs="Noto Sans"/>
          <w:color w:val="000000" w:themeColor="text1"/>
          <w:sz w:val="22"/>
          <w:szCs w:val="22"/>
        </w:rPr>
        <w:t>adscrita a la Unidad de Medicina Familiar (UMF) No. 28 al sur de la Ciudad de México, explicó que la salud dental de las personas inicia desde la sexta semana de gestación, donde comienzan a formarse las primeras piezas dentales en el ser humano, por ello masticar correctamente y tener una adecuada higiene bucal durante el embarazo es crucial para que una persona recién nacida reciba los nutrientes adecuados.</w:t>
      </w:r>
    </w:p>
    <w:p w14:paraId="4949240F" w14:textId="77777777" w:rsidR="00806FC1" w:rsidRPr="00E37AE9" w:rsidRDefault="00806FC1" w:rsidP="00832F97">
      <w:pPr>
        <w:ind w:right="49"/>
        <w:jc w:val="both"/>
        <w:rPr>
          <w:rFonts w:ascii="Noto Sans" w:hAnsi="Noto Sans" w:cs="Noto Sans"/>
          <w:color w:val="000000" w:themeColor="text1"/>
          <w:sz w:val="22"/>
          <w:szCs w:val="22"/>
        </w:rPr>
      </w:pPr>
    </w:p>
    <w:p w14:paraId="79F78787" w14:textId="64694D3E" w:rsidR="005E69CB" w:rsidRPr="00E37AE9" w:rsidRDefault="005E69CB" w:rsidP="005E69CB">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 xml:space="preserve">“No masticar correctamente, chuparse el dedo o llevarse objetos a la boca durante la etapa de crecimiento de un niño, puede afectar el desarrollo maxilar o de la mandíbula, lo que </w:t>
      </w:r>
      <w:r w:rsidR="00D44DC9" w:rsidRPr="00E37AE9">
        <w:rPr>
          <w:rFonts w:ascii="Noto Sans" w:hAnsi="Noto Sans" w:cs="Noto Sans"/>
          <w:color w:val="000000" w:themeColor="text1"/>
          <w:sz w:val="22"/>
          <w:szCs w:val="22"/>
        </w:rPr>
        <w:t>favorece</w:t>
      </w:r>
      <w:r w:rsidR="006074C1" w:rsidRPr="00E37AE9">
        <w:rPr>
          <w:rFonts w:ascii="Noto Sans" w:hAnsi="Noto Sans" w:cs="Noto Sans"/>
          <w:color w:val="000000" w:themeColor="text1"/>
          <w:sz w:val="22"/>
          <w:szCs w:val="22"/>
        </w:rPr>
        <w:t xml:space="preserve"> </w:t>
      </w:r>
      <w:r w:rsidR="00D44DC9" w:rsidRPr="00E37AE9">
        <w:rPr>
          <w:rFonts w:ascii="Noto Sans" w:hAnsi="Noto Sans" w:cs="Noto Sans"/>
          <w:color w:val="000000" w:themeColor="text1"/>
          <w:sz w:val="22"/>
          <w:szCs w:val="22"/>
        </w:rPr>
        <w:t>la mal posición de dientes (</w:t>
      </w:r>
      <w:r w:rsidRPr="00E37AE9">
        <w:rPr>
          <w:rFonts w:ascii="Noto Sans" w:hAnsi="Noto Sans" w:cs="Noto Sans"/>
          <w:color w:val="000000" w:themeColor="text1"/>
          <w:sz w:val="22"/>
          <w:szCs w:val="22"/>
        </w:rPr>
        <w:t>dientes chuecos</w:t>
      </w:r>
      <w:r w:rsidR="00D44DC9" w:rsidRPr="00E37AE9">
        <w:rPr>
          <w:rFonts w:ascii="Noto Sans" w:hAnsi="Noto Sans" w:cs="Noto Sans"/>
          <w:color w:val="000000" w:themeColor="text1"/>
          <w:sz w:val="22"/>
          <w:szCs w:val="22"/>
        </w:rPr>
        <w:t>) y la acumulación de restos de alimentos</w:t>
      </w:r>
      <w:r w:rsidRPr="00E37AE9">
        <w:rPr>
          <w:rFonts w:ascii="Noto Sans" w:hAnsi="Noto Sans" w:cs="Noto Sans"/>
          <w:color w:val="000000" w:themeColor="text1"/>
          <w:sz w:val="22"/>
          <w:szCs w:val="22"/>
        </w:rPr>
        <w:t>, señaló.</w:t>
      </w:r>
    </w:p>
    <w:p w14:paraId="28174B0B" w14:textId="77777777" w:rsidR="005E69CB" w:rsidRPr="00E37AE9" w:rsidRDefault="005E69CB" w:rsidP="005E69CB">
      <w:pPr>
        <w:ind w:right="49"/>
        <w:jc w:val="both"/>
        <w:rPr>
          <w:rFonts w:ascii="Noto Sans" w:hAnsi="Noto Sans" w:cs="Noto Sans"/>
          <w:color w:val="000000" w:themeColor="text1"/>
          <w:sz w:val="22"/>
          <w:szCs w:val="22"/>
        </w:rPr>
      </w:pPr>
    </w:p>
    <w:p w14:paraId="17A47DB8" w14:textId="0F92A03C" w:rsidR="00806FC1" w:rsidRPr="00E37AE9" w:rsidRDefault="00806FC1" w:rsidP="00806FC1">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 xml:space="preserve">Detalló que las caries son </w:t>
      </w:r>
      <w:r w:rsidR="00D44DC9" w:rsidRPr="00E37AE9">
        <w:rPr>
          <w:rFonts w:ascii="Noto Sans" w:hAnsi="Noto Sans" w:cs="Noto Sans"/>
          <w:color w:val="000000" w:themeColor="text1"/>
          <w:sz w:val="22"/>
          <w:szCs w:val="22"/>
        </w:rPr>
        <w:t xml:space="preserve">lesiones </w:t>
      </w:r>
      <w:r w:rsidRPr="00E37AE9">
        <w:rPr>
          <w:rFonts w:ascii="Noto Sans" w:hAnsi="Noto Sans" w:cs="Noto Sans"/>
          <w:color w:val="000000" w:themeColor="text1"/>
          <w:sz w:val="22"/>
          <w:szCs w:val="22"/>
        </w:rPr>
        <w:t xml:space="preserve">que dañan la superficie dura de los dientes que pueden derivar en dolor intenso, infecciones y pérdida de los mismos; </w:t>
      </w:r>
      <w:r w:rsidR="00D44DC9" w:rsidRPr="00E37AE9">
        <w:rPr>
          <w:rFonts w:ascii="Noto Sans" w:hAnsi="Noto Sans" w:cs="Noto Sans"/>
          <w:color w:val="000000" w:themeColor="text1"/>
          <w:sz w:val="22"/>
          <w:szCs w:val="22"/>
        </w:rPr>
        <w:t xml:space="preserve">la </w:t>
      </w:r>
      <w:r w:rsidRPr="00E37AE9">
        <w:rPr>
          <w:rFonts w:ascii="Noto Sans" w:hAnsi="Noto Sans" w:cs="Noto Sans"/>
          <w:color w:val="000000" w:themeColor="text1"/>
          <w:sz w:val="22"/>
          <w:szCs w:val="22"/>
        </w:rPr>
        <w:t xml:space="preserve">mala higiene, </w:t>
      </w:r>
      <w:r w:rsidR="00D44DC9" w:rsidRPr="00E37AE9">
        <w:rPr>
          <w:rFonts w:ascii="Noto Sans" w:hAnsi="Noto Sans" w:cs="Noto Sans"/>
          <w:color w:val="000000" w:themeColor="text1"/>
          <w:sz w:val="22"/>
          <w:szCs w:val="22"/>
        </w:rPr>
        <w:t xml:space="preserve">el </w:t>
      </w:r>
      <w:r w:rsidRPr="00E37AE9">
        <w:rPr>
          <w:rFonts w:ascii="Noto Sans" w:hAnsi="Noto Sans" w:cs="Noto Sans"/>
          <w:color w:val="000000" w:themeColor="text1"/>
          <w:sz w:val="22"/>
          <w:szCs w:val="22"/>
        </w:rPr>
        <w:t xml:space="preserve">consumo de bebidas </w:t>
      </w:r>
      <w:r w:rsidRPr="00E37AE9">
        <w:rPr>
          <w:rFonts w:ascii="Noto Sans" w:hAnsi="Noto Sans" w:cs="Noto Sans"/>
          <w:color w:val="000000" w:themeColor="text1"/>
          <w:sz w:val="22"/>
          <w:szCs w:val="22"/>
        </w:rPr>
        <w:lastRenderedPageBreak/>
        <w:t>azucaradas y la presencia de bacterias en la boca</w:t>
      </w:r>
      <w:r w:rsidR="00D44DC9" w:rsidRPr="00E37AE9">
        <w:rPr>
          <w:rFonts w:ascii="Noto Sans" w:hAnsi="Noto Sans" w:cs="Noto Sans"/>
          <w:color w:val="000000" w:themeColor="text1"/>
          <w:sz w:val="22"/>
          <w:szCs w:val="22"/>
        </w:rPr>
        <w:t>,</w:t>
      </w:r>
      <w:r w:rsidRPr="00E37AE9">
        <w:rPr>
          <w:rFonts w:ascii="Noto Sans" w:hAnsi="Noto Sans" w:cs="Noto Sans"/>
          <w:color w:val="000000" w:themeColor="text1"/>
          <w:sz w:val="22"/>
          <w:szCs w:val="22"/>
        </w:rPr>
        <w:t xml:space="preserve"> son l</w:t>
      </w:r>
      <w:r w:rsidR="00D44DC9" w:rsidRPr="00E37AE9">
        <w:rPr>
          <w:rFonts w:ascii="Noto Sans" w:hAnsi="Noto Sans" w:cs="Noto Sans"/>
          <w:color w:val="000000" w:themeColor="text1"/>
          <w:sz w:val="22"/>
          <w:szCs w:val="22"/>
        </w:rPr>
        <w:t>o</w:t>
      </w:r>
      <w:r w:rsidRPr="00E37AE9">
        <w:rPr>
          <w:rFonts w:ascii="Noto Sans" w:hAnsi="Noto Sans" w:cs="Noto Sans"/>
          <w:color w:val="000000" w:themeColor="text1"/>
          <w:sz w:val="22"/>
          <w:szCs w:val="22"/>
        </w:rPr>
        <w:t xml:space="preserve">s principales </w:t>
      </w:r>
      <w:r w:rsidR="00D44DC9" w:rsidRPr="00E37AE9">
        <w:rPr>
          <w:rFonts w:ascii="Noto Sans" w:hAnsi="Noto Sans" w:cs="Noto Sans"/>
          <w:color w:val="000000" w:themeColor="text1"/>
          <w:sz w:val="22"/>
          <w:szCs w:val="22"/>
        </w:rPr>
        <w:t>factores de riesgo para su aparición</w:t>
      </w:r>
      <w:r w:rsidRPr="00E37AE9">
        <w:rPr>
          <w:rFonts w:ascii="Noto Sans" w:hAnsi="Noto Sans" w:cs="Noto Sans"/>
          <w:color w:val="000000" w:themeColor="text1"/>
          <w:sz w:val="22"/>
          <w:szCs w:val="22"/>
        </w:rPr>
        <w:t>.</w:t>
      </w:r>
    </w:p>
    <w:p w14:paraId="1C77B47E" w14:textId="77777777" w:rsidR="00806FC1" w:rsidRPr="00E37AE9" w:rsidRDefault="00806FC1" w:rsidP="00806FC1">
      <w:pPr>
        <w:ind w:right="49"/>
        <w:jc w:val="both"/>
        <w:rPr>
          <w:rFonts w:ascii="Noto Sans" w:hAnsi="Noto Sans" w:cs="Noto Sans"/>
          <w:color w:val="000000" w:themeColor="text1"/>
          <w:sz w:val="22"/>
          <w:szCs w:val="22"/>
        </w:rPr>
      </w:pPr>
    </w:p>
    <w:p w14:paraId="4E0B17B7" w14:textId="68C31E89" w:rsidR="007174C2" w:rsidRPr="00E37AE9" w:rsidRDefault="00806FC1" w:rsidP="00806FC1">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Indicó que el hábito de fumar puede provocar cáncer bucal, “nunca hay que minimizar alguna lesión en la boca, así sea una prótesis desajustada, un lunar o aparición de una úlcera, se debe analizar qué tipo de afección aparece en la boca para detectar a tiempo cualquier señal de alarma”.</w:t>
      </w:r>
    </w:p>
    <w:p w14:paraId="11B6ECDB" w14:textId="77777777" w:rsidR="00806FC1" w:rsidRPr="00E37AE9" w:rsidRDefault="00806FC1" w:rsidP="00806FC1">
      <w:pPr>
        <w:ind w:right="49"/>
        <w:jc w:val="both"/>
        <w:rPr>
          <w:rFonts w:ascii="Noto Sans" w:hAnsi="Noto Sans" w:cs="Noto Sans"/>
          <w:color w:val="000000" w:themeColor="text1"/>
          <w:sz w:val="22"/>
          <w:szCs w:val="22"/>
        </w:rPr>
      </w:pPr>
    </w:p>
    <w:p w14:paraId="3CF540B7" w14:textId="2083E2BD" w:rsidR="00806FC1" w:rsidRPr="00E37AE9" w:rsidRDefault="00806FC1" w:rsidP="00806FC1">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Además, precisó que en el proceso de digestión de la comida, los dientes juegan un rol importante, ya que masticar de 20 a 30 veces cada bocado genera mayor saciedad, reduce la ingesta calórica, permite absorber los nutrientes de mejor manera y estimula la actividad del intestino delgado.</w:t>
      </w:r>
    </w:p>
    <w:p w14:paraId="10A2C0F8" w14:textId="77777777" w:rsidR="00806FC1" w:rsidRPr="00E37AE9" w:rsidRDefault="00806FC1" w:rsidP="00806FC1">
      <w:pPr>
        <w:ind w:right="49"/>
        <w:jc w:val="both"/>
        <w:rPr>
          <w:rFonts w:ascii="Noto Sans" w:hAnsi="Noto Sans" w:cs="Noto Sans"/>
          <w:color w:val="000000" w:themeColor="text1"/>
          <w:sz w:val="22"/>
          <w:szCs w:val="22"/>
        </w:rPr>
      </w:pPr>
    </w:p>
    <w:p w14:paraId="3A1E4FB0" w14:textId="721060B2" w:rsidR="00806FC1" w:rsidRPr="00E37AE9" w:rsidRDefault="00806FC1" w:rsidP="00806FC1">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 xml:space="preserve">Explicó que cada diente tiene una función importante en el proceso </w:t>
      </w:r>
      <w:r w:rsidR="00D43A6A" w:rsidRPr="00E37AE9">
        <w:rPr>
          <w:rFonts w:ascii="Noto Sans" w:hAnsi="Noto Sans" w:cs="Noto Sans"/>
          <w:color w:val="000000" w:themeColor="text1"/>
          <w:sz w:val="22"/>
          <w:szCs w:val="22"/>
        </w:rPr>
        <w:t xml:space="preserve">de masticación </w:t>
      </w:r>
      <w:r w:rsidRPr="00E37AE9">
        <w:rPr>
          <w:rFonts w:ascii="Noto Sans" w:hAnsi="Noto Sans" w:cs="Noto Sans"/>
          <w:color w:val="000000" w:themeColor="text1"/>
          <w:sz w:val="22"/>
          <w:szCs w:val="22"/>
        </w:rPr>
        <w:t>, las piezas que están en la parte de adelante funcionan para cortar el alimento, los premolares se encargan de moler el alimento y los molares permiten triturar por completo el alimento.</w:t>
      </w:r>
    </w:p>
    <w:p w14:paraId="37E3E1FD" w14:textId="77777777" w:rsidR="00806FC1" w:rsidRPr="00E37AE9" w:rsidRDefault="00806FC1" w:rsidP="00806FC1">
      <w:pPr>
        <w:ind w:right="49"/>
        <w:jc w:val="both"/>
        <w:rPr>
          <w:rFonts w:ascii="Noto Sans" w:hAnsi="Noto Sans" w:cs="Noto Sans"/>
          <w:color w:val="000000" w:themeColor="text1"/>
          <w:sz w:val="22"/>
          <w:szCs w:val="22"/>
        </w:rPr>
      </w:pPr>
    </w:p>
    <w:p w14:paraId="3236010C" w14:textId="413996FB" w:rsidR="005E69CB" w:rsidRPr="00E37AE9" w:rsidRDefault="005E69CB" w:rsidP="005E69CB">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 xml:space="preserve">La estomatóloga del IMSS resaltó la importancia de acudir al dentista cada seis meses, pero en caso de padecer hipertensión o encontrarse comprometido en el sistema inmune, se debe procurar que la revisión sea cada cuatro meses para descartar la presencia de caries </w:t>
      </w:r>
      <w:r w:rsidR="00D43A6A" w:rsidRPr="00E37AE9">
        <w:rPr>
          <w:rFonts w:ascii="Noto Sans" w:hAnsi="Noto Sans" w:cs="Noto Sans"/>
          <w:color w:val="000000" w:themeColor="text1"/>
          <w:sz w:val="22"/>
          <w:szCs w:val="22"/>
        </w:rPr>
        <w:t xml:space="preserve">dental </w:t>
      </w:r>
      <w:r w:rsidRPr="00E37AE9">
        <w:rPr>
          <w:rFonts w:ascii="Noto Sans" w:hAnsi="Noto Sans" w:cs="Noto Sans"/>
          <w:color w:val="000000" w:themeColor="text1"/>
          <w:sz w:val="22"/>
          <w:szCs w:val="22"/>
        </w:rPr>
        <w:t xml:space="preserve">o enfermedades </w:t>
      </w:r>
      <w:r w:rsidR="00D43A6A" w:rsidRPr="00E37AE9">
        <w:rPr>
          <w:rFonts w:ascii="Noto Sans" w:hAnsi="Noto Sans" w:cs="Noto Sans"/>
          <w:color w:val="000000" w:themeColor="text1"/>
          <w:sz w:val="22"/>
          <w:szCs w:val="22"/>
        </w:rPr>
        <w:t>de las encías</w:t>
      </w:r>
      <w:r w:rsidR="005E21C3" w:rsidRPr="00E37AE9">
        <w:rPr>
          <w:rFonts w:ascii="Noto Sans" w:hAnsi="Noto Sans" w:cs="Noto Sans"/>
          <w:color w:val="000000" w:themeColor="text1"/>
          <w:sz w:val="22"/>
          <w:szCs w:val="22"/>
        </w:rPr>
        <w:t xml:space="preserve"> </w:t>
      </w:r>
      <w:r w:rsidRPr="00E37AE9">
        <w:rPr>
          <w:rFonts w:ascii="Noto Sans" w:hAnsi="Noto Sans" w:cs="Noto Sans"/>
          <w:color w:val="000000" w:themeColor="text1"/>
          <w:sz w:val="22"/>
          <w:szCs w:val="22"/>
        </w:rPr>
        <w:t>que pongan en riesgo y agraven su salud</w:t>
      </w:r>
      <w:r w:rsidR="00D43A6A" w:rsidRPr="00E37AE9">
        <w:rPr>
          <w:rFonts w:ascii="Noto Sans" w:hAnsi="Noto Sans" w:cs="Noto Sans"/>
          <w:color w:val="000000" w:themeColor="text1"/>
          <w:sz w:val="22"/>
          <w:szCs w:val="22"/>
        </w:rPr>
        <w:t xml:space="preserve"> bucal</w:t>
      </w:r>
      <w:r w:rsidRPr="00E37AE9">
        <w:rPr>
          <w:rFonts w:ascii="Noto Sans" w:hAnsi="Noto Sans" w:cs="Noto Sans"/>
          <w:color w:val="000000" w:themeColor="text1"/>
          <w:sz w:val="22"/>
          <w:szCs w:val="22"/>
        </w:rPr>
        <w:t>.</w:t>
      </w:r>
    </w:p>
    <w:p w14:paraId="5CD2F257" w14:textId="77777777" w:rsidR="005E69CB" w:rsidRPr="00E37AE9" w:rsidRDefault="005E69CB" w:rsidP="005E69CB">
      <w:pPr>
        <w:ind w:right="49"/>
        <w:jc w:val="both"/>
        <w:rPr>
          <w:rFonts w:ascii="Noto Sans" w:hAnsi="Noto Sans" w:cs="Noto Sans"/>
          <w:color w:val="000000" w:themeColor="text1"/>
          <w:sz w:val="22"/>
          <w:szCs w:val="22"/>
        </w:rPr>
      </w:pPr>
    </w:p>
    <w:p w14:paraId="21C2A5FA" w14:textId="5D4EE609" w:rsidR="005E69CB" w:rsidRPr="00E37AE9" w:rsidRDefault="005E69CB" w:rsidP="005E69CB">
      <w:pPr>
        <w:ind w:right="49"/>
        <w:jc w:val="both"/>
        <w:rPr>
          <w:rFonts w:ascii="Noto Sans" w:hAnsi="Noto Sans" w:cs="Noto Sans"/>
          <w:color w:val="000000" w:themeColor="text1"/>
          <w:sz w:val="22"/>
          <w:szCs w:val="22"/>
        </w:rPr>
      </w:pPr>
      <w:r w:rsidRPr="00E37AE9">
        <w:rPr>
          <w:rFonts w:ascii="Noto Sans" w:hAnsi="Noto Sans" w:cs="Noto Sans"/>
          <w:color w:val="000000" w:themeColor="text1"/>
          <w:sz w:val="22"/>
          <w:szCs w:val="22"/>
        </w:rPr>
        <w:t>Dijo que el proceso de atención del área de Estomatología conlleva el trabajo de un equipo multidisciplinario entre Trabajo Social, asistentes médicas, laboratorio y Medicina preventiva. “Para mí es un orgullo pertenecer al IMSS, la Estomatología es importante en la vida de las personas, a través de ella podemos prevenir enfermedades cardíacas, diabetes o hipertensión”.</w:t>
      </w:r>
    </w:p>
    <w:p w14:paraId="64418218" w14:textId="77777777" w:rsidR="005E69CB" w:rsidRPr="00E37AE9" w:rsidRDefault="005E69CB" w:rsidP="005E69CB">
      <w:pPr>
        <w:ind w:right="49"/>
        <w:jc w:val="both"/>
        <w:rPr>
          <w:rFonts w:ascii="Noto Sans" w:hAnsi="Noto Sans" w:cs="Noto Sans"/>
          <w:color w:val="000000" w:themeColor="text1"/>
          <w:sz w:val="22"/>
          <w:szCs w:val="22"/>
        </w:rPr>
      </w:pPr>
    </w:p>
    <w:p w14:paraId="187F7767" w14:textId="1628503C" w:rsidR="00AD2A90" w:rsidRDefault="001A7BE6" w:rsidP="002B0ED0">
      <w:pPr>
        <w:ind w:right="49"/>
        <w:jc w:val="center"/>
        <w:rPr>
          <w:rFonts w:ascii="Noto Sans" w:hAnsi="Noto Sans" w:cs="Noto Sans"/>
          <w:b/>
          <w:bCs/>
          <w:color w:val="000000" w:themeColor="text1"/>
          <w:sz w:val="22"/>
          <w:szCs w:val="22"/>
        </w:rPr>
      </w:pPr>
      <w:r w:rsidRPr="00E37AE9">
        <w:rPr>
          <w:rFonts w:ascii="Noto Sans" w:hAnsi="Noto Sans" w:cs="Noto Sans"/>
          <w:b/>
          <w:bCs/>
          <w:color w:val="000000" w:themeColor="text1"/>
          <w:sz w:val="22"/>
          <w:szCs w:val="22"/>
        </w:rPr>
        <w:t>---o0o---</w:t>
      </w:r>
    </w:p>
    <w:p w14:paraId="3E933DB7" w14:textId="77777777" w:rsidR="0047145B" w:rsidRDefault="0047145B" w:rsidP="0047145B">
      <w:pPr>
        <w:ind w:right="49"/>
        <w:rPr>
          <w:rFonts w:ascii="Noto Sans" w:hAnsi="Noto Sans" w:cs="Noto Sans"/>
          <w:b/>
          <w:bCs/>
          <w:color w:val="000000" w:themeColor="text1"/>
          <w:sz w:val="22"/>
          <w:szCs w:val="22"/>
        </w:rPr>
      </w:pPr>
    </w:p>
    <w:p w14:paraId="4C46A883" w14:textId="794E7AD3" w:rsidR="0047145B" w:rsidRDefault="0047145B" w:rsidP="0047145B">
      <w:pPr>
        <w:ind w:right="49"/>
        <w:rPr>
          <w:rFonts w:ascii="Noto Sans" w:hAnsi="Noto Sans" w:cs="Noto Sans"/>
          <w:b/>
          <w:bCs/>
          <w:color w:val="000000" w:themeColor="text1"/>
          <w:sz w:val="22"/>
          <w:szCs w:val="22"/>
        </w:rPr>
      </w:pPr>
      <w:r>
        <w:rPr>
          <w:rFonts w:ascii="Noto Sans" w:hAnsi="Noto Sans" w:cs="Noto Sans"/>
          <w:b/>
          <w:bCs/>
          <w:color w:val="000000" w:themeColor="text1"/>
          <w:sz w:val="22"/>
          <w:szCs w:val="22"/>
        </w:rPr>
        <w:t>LINK DE FOTOS</w:t>
      </w:r>
    </w:p>
    <w:p w14:paraId="14F7BA4E" w14:textId="78C7F91A" w:rsidR="0047145B" w:rsidRDefault="0047145B" w:rsidP="0047145B">
      <w:pPr>
        <w:ind w:right="49"/>
        <w:rPr>
          <w:rFonts w:ascii="Noto Sans" w:hAnsi="Noto Sans" w:cs="Noto Sans"/>
          <w:b/>
          <w:bCs/>
          <w:color w:val="000000" w:themeColor="text1"/>
          <w:sz w:val="22"/>
          <w:szCs w:val="22"/>
        </w:rPr>
      </w:pPr>
      <w:hyperlink r:id="rId8" w:history="1">
        <w:r w:rsidRPr="004D1DA9">
          <w:rPr>
            <w:rStyle w:val="Hipervnculo"/>
            <w:rFonts w:ascii="Noto Sans" w:hAnsi="Noto Sans" w:cs="Noto Sans"/>
            <w:b/>
            <w:bCs/>
            <w:sz w:val="22"/>
            <w:szCs w:val="22"/>
          </w:rPr>
          <w:t>https://drive.google.com/drive/folders/1nJKvetkbeqn-j_qU1KPwk3c93rkrHZ46?usp=sharing</w:t>
        </w:r>
      </w:hyperlink>
    </w:p>
    <w:p w14:paraId="6CA3D38B" w14:textId="77777777" w:rsidR="0047145B" w:rsidRDefault="0047145B" w:rsidP="0047145B">
      <w:pPr>
        <w:ind w:right="49"/>
        <w:rPr>
          <w:rFonts w:ascii="Noto Sans" w:hAnsi="Noto Sans" w:cs="Noto Sans"/>
          <w:b/>
          <w:bCs/>
          <w:color w:val="000000" w:themeColor="text1"/>
          <w:sz w:val="22"/>
          <w:szCs w:val="22"/>
        </w:rPr>
      </w:pPr>
    </w:p>
    <w:p w14:paraId="45DE93B9" w14:textId="684BCFBE" w:rsidR="0047145B" w:rsidRDefault="0047145B" w:rsidP="0047145B">
      <w:pPr>
        <w:ind w:right="49"/>
        <w:rPr>
          <w:rFonts w:ascii="Noto Sans" w:hAnsi="Noto Sans" w:cs="Noto Sans"/>
          <w:b/>
          <w:bCs/>
          <w:color w:val="000000" w:themeColor="text1"/>
          <w:sz w:val="22"/>
          <w:szCs w:val="22"/>
        </w:rPr>
      </w:pPr>
      <w:r>
        <w:rPr>
          <w:rFonts w:ascii="Noto Sans" w:hAnsi="Noto Sans" w:cs="Noto Sans"/>
          <w:b/>
          <w:bCs/>
          <w:color w:val="000000" w:themeColor="text1"/>
          <w:sz w:val="22"/>
          <w:szCs w:val="22"/>
        </w:rPr>
        <w:t xml:space="preserve">LINK DE VIDEO </w:t>
      </w:r>
    </w:p>
    <w:p w14:paraId="342878CC" w14:textId="63D55970" w:rsidR="0047145B" w:rsidRDefault="0047145B" w:rsidP="0047145B">
      <w:pPr>
        <w:ind w:right="49"/>
        <w:rPr>
          <w:rFonts w:ascii="Noto Sans" w:hAnsi="Noto Sans" w:cs="Noto Sans"/>
          <w:b/>
          <w:bCs/>
          <w:color w:val="000000" w:themeColor="text1"/>
          <w:sz w:val="22"/>
          <w:szCs w:val="22"/>
        </w:rPr>
      </w:pPr>
      <w:hyperlink r:id="rId9" w:history="1">
        <w:r w:rsidRPr="004D1DA9">
          <w:rPr>
            <w:rStyle w:val="Hipervnculo"/>
            <w:rFonts w:ascii="Noto Sans" w:hAnsi="Noto Sans" w:cs="Noto Sans"/>
            <w:b/>
            <w:bCs/>
            <w:sz w:val="22"/>
            <w:szCs w:val="22"/>
          </w:rPr>
          <w:t>https://www.swisstransfer.com/d/b164f020-3489-4f86-9433-3997854c8e7d</w:t>
        </w:r>
      </w:hyperlink>
    </w:p>
    <w:p w14:paraId="14FE1083" w14:textId="77777777" w:rsidR="0047145B" w:rsidRDefault="0047145B" w:rsidP="0047145B">
      <w:pPr>
        <w:ind w:right="49"/>
        <w:rPr>
          <w:rFonts w:ascii="Noto Sans" w:hAnsi="Noto Sans" w:cs="Noto Sans"/>
          <w:b/>
          <w:bCs/>
          <w:color w:val="000000" w:themeColor="text1"/>
          <w:sz w:val="22"/>
          <w:szCs w:val="22"/>
        </w:rPr>
      </w:pPr>
    </w:p>
    <w:p w14:paraId="689B369C" w14:textId="77777777" w:rsidR="0047145B" w:rsidRDefault="0047145B" w:rsidP="002B0ED0">
      <w:pPr>
        <w:ind w:right="49"/>
        <w:jc w:val="center"/>
        <w:rPr>
          <w:rFonts w:ascii="Noto Sans" w:hAnsi="Noto Sans" w:cs="Noto Sans"/>
          <w:b/>
          <w:bCs/>
          <w:color w:val="000000" w:themeColor="text1"/>
          <w:sz w:val="22"/>
          <w:szCs w:val="22"/>
        </w:rPr>
      </w:pPr>
    </w:p>
    <w:p w14:paraId="5CE59123" w14:textId="77777777" w:rsidR="0047145B" w:rsidRPr="00E37AE9" w:rsidRDefault="0047145B" w:rsidP="002B0ED0">
      <w:pPr>
        <w:ind w:right="49"/>
        <w:jc w:val="center"/>
        <w:rPr>
          <w:rFonts w:ascii="Noto Sans" w:hAnsi="Noto Sans" w:cs="Noto Sans"/>
          <w:b/>
          <w:bCs/>
          <w:color w:val="000000" w:themeColor="text1"/>
          <w:sz w:val="22"/>
          <w:szCs w:val="22"/>
        </w:rPr>
      </w:pPr>
    </w:p>
    <w:sectPr w:rsidR="0047145B" w:rsidRPr="00E37AE9" w:rsidSect="004E38AB">
      <w:headerReference w:type="default" r:id="rId10"/>
      <w:pgSz w:w="12240" w:h="15840"/>
      <w:pgMar w:top="2342" w:right="1134" w:bottom="1843"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34A580" w14:textId="77777777" w:rsidR="004E5027" w:rsidRDefault="004E5027" w:rsidP="00A73D65">
      <w:r>
        <w:separator/>
      </w:r>
    </w:p>
  </w:endnote>
  <w:endnote w:type="continuationSeparator" w:id="0">
    <w:p w14:paraId="0B58A432" w14:textId="77777777" w:rsidR="004E5027" w:rsidRDefault="004E5027"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Geomanist">
    <w:altName w:val="Calibri"/>
    <w:panose1 w:val="00000000000000000000"/>
    <w:charset w:val="00"/>
    <w:family w:val="modern"/>
    <w:notTrueType/>
    <w:pitch w:val="variable"/>
    <w:sig w:usb0="A000002F" w:usb1="1000004A" w:usb2="00000000" w:usb3="00000000" w:csb0="00000193" w:csb1="00000000"/>
  </w:font>
  <w:font w:name="Noto Sans">
    <w:altName w:val="Nirmala UI"/>
    <w:charset w:val="00"/>
    <w:family w:val="swiss"/>
    <w:pitch w:val="variable"/>
    <w:sig w:usb0="E00082FF" w:usb1="400078FF" w:usb2="08000029" w:usb3="00000000" w:csb0="0000019F"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5E2DA8" w14:textId="77777777" w:rsidR="004E5027" w:rsidRDefault="004E5027" w:rsidP="00A73D65">
      <w:r>
        <w:separator/>
      </w:r>
    </w:p>
  </w:footnote>
  <w:footnote w:type="continuationSeparator" w:id="0">
    <w:p w14:paraId="0AC2B117" w14:textId="77777777" w:rsidR="004E5027" w:rsidRDefault="004E5027"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2BAD49B3">
          <wp:simplePos x="0" y="0"/>
          <wp:positionH relativeFrom="column">
            <wp:posOffset>-735676</wp:posOffset>
          </wp:positionH>
          <wp:positionV relativeFrom="paragraph">
            <wp:posOffset>-437515</wp:posOffset>
          </wp:positionV>
          <wp:extent cx="7766612" cy="10050548"/>
          <wp:effectExtent l="0" t="0" r="6350" b="8255"/>
          <wp:wrapNone/>
          <wp:docPr id="439223470"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A47257CA"/>
    <w:lvl w:ilvl="0" w:tplc="080A0001">
      <w:start w:val="1"/>
      <w:numFmt w:val="bullet"/>
      <w:lvlText w:val=""/>
      <w:lvlJc w:val="left"/>
      <w:pPr>
        <w:ind w:left="709" w:hanging="360"/>
      </w:pPr>
      <w:rPr>
        <w:rFonts w:ascii="Symbol" w:hAnsi="Symbol" w:hint="default"/>
      </w:rPr>
    </w:lvl>
    <w:lvl w:ilvl="1" w:tplc="080A0003" w:tentative="1">
      <w:start w:val="1"/>
      <w:numFmt w:val="bullet"/>
      <w:lvlText w:val="o"/>
      <w:lvlJc w:val="left"/>
      <w:pPr>
        <w:ind w:left="1429" w:hanging="360"/>
      </w:pPr>
      <w:rPr>
        <w:rFonts w:ascii="Courier New" w:hAnsi="Courier New" w:cs="Courier New" w:hint="default"/>
      </w:rPr>
    </w:lvl>
    <w:lvl w:ilvl="2" w:tplc="080A0005" w:tentative="1">
      <w:start w:val="1"/>
      <w:numFmt w:val="bullet"/>
      <w:lvlText w:val=""/>
      <w:lvlJc w:val="left"/>
      <w:pPr>
        <w:ind w:left="2149" w:hanging="360"/>
      </w:pPr>
      <w:rPr>
        <w:rFonts w:ascii="Wingdings" w:hAnsi="Wingdings" w:hint="default"/>
      </w:rPr>
    </w:lvl>
    <w:lvl w:ilvl="3" w:tplc="080A0001" w:tentative="1">
      <w:start w:val="1"/>
      <w:numFmt w:val="bullet"/>
      <w:lvlText w:val=""/>
      <w:lvlJc w:val="left"/>
      <w:pPr>
        <w:ind w:left="2869" w:hanging="360"/>
      </w:pPr>
      <w:rPr>
        <w:rFonts w:ascii="Symbol" w:hAnsi="Symbol" w:hint="default"/>
      </w:rPr>
    </w:lvl>
    <w:lvl w:ilvl="4" w:tplc="080A0003" w:tentative="1">
      <w:start w:val="1"/>
      <w:numFmt w:val="bullet"/>
      <w:lvlText w:val="o"/>
      <w:lvlJc w:val="left"/>
      <w:pPr>
        <w:ind w:left="3589" w:hanging="360"/>
      </w:pPr>
      <w:rPr>
        <w:rFonts w:ascii="Courier New" w:hAnsi="Courier New" w:cs="Courier New" w:hint="default"/>
      </w:rPr>
    </w:lvl>
    <w:lvl w:ilvl="5" w:tplc="080A0005" w:tentative="1">
      <w:start w:val="1"/>
      <w:numFmt w:val="bullet"/>
      <w:lvlText w:val=""/>
      <w:lvlJc w:val="left"/>
      <w:pPr>
        <w:ind w:left="4309" w:hanging="360"/>
      </w:pPr>
      <w:rPr>
        <w:rFonts w:ascii="Wingdings" w:hAnsi="Wingdings" w:hint="default"/>
      </w:rPr>
    </w:lvl>
    <w:lvl w:ilvl="6" w:tplc="080A0001" w:tentative="1">
      <w:start w:val="1"/>
      <w:numFmt w:val="bullet"/>
      <w:lvlText w:val=""/>
      <w:lvlJc w:val="left"/>
      <w:pPr>
        <w:ind w:left="5029" w:hanging="360"/>
      </w:pPr>
      <w:rPr>
        <w:rFonts w:ascii="Symbol" w:hAnsi="Symbol" w:hint="default"/>
      </w:rPr>
    </w:lvl>
    <w:lvl w:ilvl="7" w:tplc="080A0003" w:tentative="1">
      <w:start w:val="1"/>
      <w:numFmt w:val="bullet"/>
      <w:lvlText w:val="o"/>
      <w:lvlJc w:val="left"/>
      <w:pPr>
        <w:ind w:left="5749" w:hanging="360"/>
      </w:pPr>
      <w:rPr>
        <w:rFonts w:ascii="Courier New" w:hAnsi="Courier New" w:cs="Courier New" w:hint="default"/>
      </w:rPr>
    </w:lvl>
    <w:lvl w:ilvl="8" w:tplc="080A0005" w:tentative="1">
      <w:start w:val="1"/>
      <w:numFmt w:val="bullet"/>
      <w:lvlText w:val=""/>
      <w:lvlJc w:val="left"/>
      <w:pPr>
        <w:ind w:left="6469" w:hanging="360"/>
      </w:pPr>
      <w:rPr>
        <w:rFonts w:ascii="Wingdings" w:hAnsi="Wingdings" w:hint="default"/>
      </w:rPr>
    </w:lvl>
  </w:abstractNum>
  <w:num w:numId="1" w16cid:durableId="21228008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54B0"/>
    <w:rsid w:val="00007681"/>
    <w:rsid w:val="000213E6"/>
    <w:rsid w:val="00027ACC"/>
    <w:rsid w:val="00032922"/>
    <w:rsid w:val="00037664"/>
    <w:rsid w:val="00050CE2"/>
    <w:rsid w:val="00062B3E"/>
    <w:rsid w:val="00086784"/>
    <w:rsid w:val="000970A4"/>
    <w:rsid w:val="000A09C1"/>
    <w:rsid w:val="000A408C"/>
    <w:rsid w:val="000B25F3"/>
    <w:rsid w:val="000D799D"/>
    <w:rsid w:val="000E5D1C"/>
    <w:rsid w:val="000F0FCA"/>
    <w:rsid w:val="001115B7"/>
    <w:rsid w:val="00117614"/>
    <w:rsid w:val="00126108"/>
    <w:rsid w:val="00132439"/>
    <w:rsid w:val="00134564"/>
    <w:rsid w:val="00156A3E"/>
    <w:rsid w:val="00161740"/>
    <w:rsid w:val="0016179D"/>
    <w:rsid w:val="00180A38"/>
    <w:rsid w:val="00184325"/>
    <w:rsid w:val="001864AD"/>
    <w:rsid w:val="00187A8E"/>
    <w:rsid w:val="001A7BE6"/>
    <w:rsid w:val="001C70FF"/>
    <w:rsid w:val="001E26A4"/>
    <w:rsid w:val="00224C3B"/>
    <w:rsid w:val="00256B1D"/>
    <w:rsid w:val="0028740C"/>
    <w:rsid w:val="0029542D"/>
    <w:rsid w:val="002A33A4"/>
    <w:rsid w:val="002B0ED0"/>
    <w:rsid w:val="002C1960"/>
    <w:rsid w:val="002E013E"/>
    <w:rsid w:val="002E2142"/>
    <w:rsid w:val="002E4817"/>
    <w:rsid w:val="0030476A"/>
    <w:rsid w:val="00330DC8"/>
    <w:rsid w:val="00334CB4"/>
    <w:rsid w:val="0034181C"/>
    <w:rsid w:val="00363222"/>
    <w:rsid w:val="00370465"/>
    <w:rsid w:val="00380CBD"/>
    <w:rsid w:val="003A64ED"/>
    <w:rsid w:val="003B1888"/>
    <w:rsid w:val="003C3525"/>
    <w:rsid w:val="003D1C86"/>
    <w:rsid w:val="003D416E"/>
    <w:rsid w:val="003E1335"/>
    <w:rsid w:val="00456908"/>
    <w:rsid w:val="0046580F"/>
    <w:rsid w:val="0047145B"/>
    <w:rsid w:val="00477F45"/>
    <w:rsid w:val="00482098"/>
    <w:rsid w:val="004A2714"/>
    <w:rsid w:val="004A4C4E"/>
    <w:rsid w:val="004A4E09"/>
    <w:rsid w:val="004A5752"/>
    <w:rsid w:val="004D146C"/>
    <w:rsid w:val="004D6A2B"/>
    <w:rsid w:val="004E0D31"/>
    <w:rsid w:val="004E38AB"/>
    <w:rsid w:val="004E5027"/>
    <w:rsid w:val="00550E91"/>
    <w:rsid w:val="005521CF"/>
    <w:rsid w:val="00553A5B"/>
    <w:rsid w:val="00557D90"/>
    <w:rsid w:val="00580EF0"/>
    <w:rsid w:val="005933D8"/>
    <w:rsid w:val="005B52A4"/>
    <w:rsid w:val="005C1A7C"/>
    <w:rsid w:val="005C7CAD"/>
    <w:rsid w:val="005E21C3"/>
    <w:rsid w:val="005E69CB"/>
    <w:rsid w:val="00603333"/>
    <w:rsid w:val="006074C1"/>
    <w:rsid w:val="0061019C"/>
    <w:rsid w:val="00626EE3"/>
    <w:rsid w:val="00631824"/>
    <w:rsid w:val="006322C1"/>
    <w:rsid w:val="00632F73"/>
    <w:rsid w:val="006513EF"/>
    <w:rsid w:val="00660D17"/>
    <w:rsid w:val="006A3D09"/>
    <w:rsid w:val="006C0425"/>
    <w:rsid w:val="006C3B4E"/>
    <w:rsid w:val="006D12C7"/>
    <w:rsid w:val="007009FE"/>
    <w:rsid w:val="0070324C"/>
    <w:rsid w:val="0071102A"/>
    <w:rsid w:val="007174C2"/>
    <w:rsid w:val="007242AE"/>
    <w:rsid w:val="00725466"/>
    <w:rsid w:val="007421E3"/>
    <w:rsid w:val="007504BE"/>
    <w:rsid w:val="0078195E"/>
    <w:rsid w:val="007B74AD"/>
    <w:rsid w:val="007D77D1"/>
    <w:rsid w:val="007E5888"/>
    <w:rsid w:val="007F1DB3"/>
    <w:rsid w:val="007F5E00"/>
    <w:rsid w:val="00806FC1"/>
    <w:rsid w:val="00822390"/>
    <w:rsid w:val="00831EE7"/>
    <w:rsid w:val="00832F97"/>
    <w:rsid w:val="00834146"/>
    <w:rsid w:val="00840B75"/>
    <w:rsid w:val="008563FE"/>
    <w:rsid w:val="00863397"/>
    <w:rsid w:val="008B63B0"/>
    <w:rsid w:val="008C172C"/>
    <w:rsid w:val="0090279C"/>
    <w:rsid w:val="0090412A"/>
    <w:rsid w:val="009066A7"/>
    <w:rsid w:val="009068C0"/>
    <w:rsid w:val="00907F1C"/>
    <w:rsid w:val="00932C27"/>
    <w:rsid w:val="00937C98"/>
    <w:rsid w:val="00942415"/>
    <w:rsid w:val="00942628"/>
    <w:rsid w:val="00965A77"/>
    <w:rsid w:val="00986441"/>
    <w:rsid w:val="00996F1A"/>
    <w:rsid w:val="009B137E"/>
    <w:rsid w:val="009C12D6"/>
    <w:rsid w:val="009C201F"/>
    <w:rsid w:val="009F2BA1"/>
    <w:rsid w:val="00A07674"/>
    <w:rsid w:val="00A27A73"/>
    <w:rsid w:val="00A301D7"/>
    <w:rsid w:val="00A31D88"/>
    <w:rsid w:val="00A46EC9"/>
    <w:rsid w:val="00A7141D"/>
    <w:rsid w:val="00A73D65"/>
    <w:rsid w:val="00A97F47"/>
    <w:rsid w:val="00AD2A90"/>
    <w:rsid w:val="00B34770"/>
    <w:rsid w:val="00B3608B"/>
    <w:rsid w:val="00B37A94"/>
    <w:rsid w:val="00B72D65"/>
    <w:rsid w:val="00B87C85"/>
    <w:rsid w:val="00B96DC0"/>
    <w:rsid w:val="00BA3083"/>
    <w:rsid w:val="00BB21A6"/>
    <w:rsid w:val="00BB2DFF"/>
    <w:rsid w:val="00BC43BD"/>
    <w:rsid w:val="00BD117E"/>
    <w:rsid w:val="00BF29F6"/>
    <w:rsid w:val="00C02E98"/>
    <w:rsid w:val="00C13382"/>
    <w:rsid w:val="00C23B9E"/>
    <w:rsid w:val="00C279A3"/>
    <w:rsid w:val="00C30849"/>
    <w:rsid w:val="00C34CA7"/>
    <w:rsid w:val="00C3690A"/>
    <w:rsid w:val="00C42A30"/>
    <w:rsid w:val="00C465FE"/>
    <w:rsid w:val="00C67047"/>
    <w:rsid w:val="00C73417"/>
    <w:rsid w:val="00C90CED"/>
    <w:rsid w:val="00CB4E79"/>
    <w:rsid w:val="00CB7D4F"/>
    <w:rsid w:val="00CD310D"/>
    <w:rsid w:val="00CE3E99"/>
    <w:rsid w:val="00CF26AA"/>
    <w:rsid w:val="00D05052"/>
    <w:rsid w:val="00D05291"/>
    <w:rsid w:val="00D1354D"/>
    <w:rsid w:val="00D17C3C"/>
    <w:rsid w:val="00D43A6A"/>
    <w:rsid w:val="00D44DC9"/>
    <w:rsid w:val="00D84E05"/>
    <w:rsid w:val="00D95C69"/>
    <w:rsid w:val="00DA037A"/>
    <w:rsid w:val="00DA0D80"/>
    <w:rsid w:val="00DA1B19"/>
    <w:rsid w:val="00DB29C6"/>
    <w:rsid w:val="00DB53A4"/>
    <w:rsid w:val="00DB7720"/>
    <w:rsid w:val="00DC3071"/>
    <w:rsid w:val="00DE3DFA"/>
    <w:rsid w:val="00E155A4"/>
    <w:rsid w:val="00E21D7E"/>
    <w:rsid w:val="00E22A11"/>
    <w:rsid w:val="00E26BDE"/>
    <w:rsid w:val="00E37AE9"/>
    <w:rsid w:val="00E71C54"/>
    <w:rsid w:val="00E73D0E"/>
    <w:rsid w:val="00E93867"/>
    <w:rsid w:val="00EB407F"/>
    <w:rsid w:val="00ED2E59"/>
    <w:rsid w:val="00EE0481"/>
    <w:rsid w:val="00EE053F"/>
    <w:rsid w:val="00EE6B41"/>
    <w:rsid w:val="00F15CF9"/>
    <w:rsid w:val="00F24915"/>
    <w:rsid w:val="00F401F9"/>
    <w:rsid w:val="00F44628"/>
    <w:rsid w:val="00F745B2"/>
    <w:rsid w:val="00F746FD"/>
    <w:rsid w:val="00F945F2"/>
    <w:rsid w:val="00FA1218"/>
    <w:rsid w:val="00FB47A3"/>
    <w:rsid w:val="00FD754F"/>
    <w:rsid w:val="00FD75E1"/>
    <w:rsid w:val="00FE2ADE"/>
    <w:rsid w:val="00FF06FA"/>
    <w:rsid w:val="00FF64F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37F45284-3BA7-4012-8E15-5395C5DF8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1A7BE6"/>
    <w:pPr>
      <w:ind w:left="720"/>
      <w:contextualSpacing/>
    </w:pPr>
  </w:style>
  <w:style w:type="character" w:styleId="Hipervnculo">
    <w:name w:val="Hyperlink"/>
    <w:basedOn w:val="Fuentedeprrafopredeter"/>
    <w:uiPriority w:val="99"/>
    <w:unhideWhenUsed/>
    <w:rsid w:val="00AD2A90"/>
    <w:rPr>
      <w:color w:val="0563C1" w:themeColor="hyperlink"/>
      <w:u w:val="single"/>
    </w:rPr>
  </w:style>
  <w:style w:type="character" w:customStyle="1" w:styleId="Mencinsinresolver1">
    <w:name w:val="Mención sin resolver1"/>
    <w:basedOn w:val="Fuentedeprrafopredeter"/>
    <w:uiPriority w:val="99"/>
    <w:semiHidden/>
    <w:unhideWhenUsed/>
    <w:rsid w:val="00AD2A90"/>
    <w:rPr>
      <w:color w:val="605E5C"/>
      <w:shd w:val="clear" w:color="auto" w:fill="E1DFDD"/>
    </w:rPr>
  </w:style>
  <w:style w:type="character" w:styleId="Mencinsinresolver">
    <w:name w:val="Unresolved Mention"/>
    <w:basedOn w:val="Fuentedeprrafopredeter"/>
    <w:uiPriority w:val="99"/>
    <w:semiHidden/>
    <w:unhideWhenUsed/>
    <w:rsid w:val="008563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nJKvetkbeqn-j_qU1KPwk3c93rkrHZ46?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b164f020-3489-4f86-9433-3997854c8e7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0D879B-7077-45A0-BB91-D2BCB1F54E81}">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660</Words>
  <Characters>3633</Characters>
  <Application>Microsoft Office Word</Application>
  <DocSecurity>0</DocSecurity>
  <Lines>30</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2025-01-09T16:28:00Z</cp:lastPrinted>
  <dcterms:created xsi:type="dcterms:W3CDTF">2025-02-19T15:03:00Z</dcterms:created>
  <dcterms:modified xsi:type="dcterms:W3CDTF">2025-02-19T15:03:00Z</dcterms:modified>
</cp:coreProperties>
</file>