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519A06" w14:textId="77777777" w:rsidR="00E533EC" w:rsidRPr="003E523E" w:rsidRDefault="00E533EC" w:rsidP="00BC589B">
      <w:pPr>
        <w:spacing w:after="0" w:line="240" w:lineRule="atLeast"/>
        <w:jc w:val="right"/>
        <w:rPr>
          <w:rFonts w:ascii="Geomanist" w:hAnsi="Geomanist"/>
          <w:b/>
          <w:color w:val="134E39"/>
          <w:sz w:val="32"/>
          <w:szCs w:val="40"/>
        </w:rPr>
      </w:pPr>
      <w:r w:rsidRPr="003E523E">
        <w:rPr>
          <w:rFonts w:ascii="Geomanist" w:hAnsi="Geomanist"/>
          <w:b/>
          <w:color w:val="134E39"/>
          <w:sz w:val="32"/>
          <w:szCs w:val="40"/>
        </w:rPr>
        <w:t>BOLETÍN DE PRENSA</w:t>
      </w:r>
    </w:p>
    <w:p w14:paraId="338ECA72" w14:textId="2CB90EEA" w:rsidR="00E533EC" w:rsidRPr="003E523E" w:rsidRDefault="00E533EC" w:rsidP="00BC589B">
      <w:pPr>
        <w:spacing w:after="0" w:line="240" w:lineRule="atLeast"/>
        <w:jc w:val="right"/>
        <w:rPr>
          <w:rFonts w:ascii="Geomanist" w:hAnsi="Geomanist"/>
          <w:sz w:val="24"/>
          <w:szCs w:val="24"/>
        </w:rPr>
      </w:pPr>
      <w:r w:rsidRPr="003E523E">
        <w:rPr>
          <w:rFonts w:ascii="Geomanist" w:hAnsi="Geomanist"/>
          <w:sz w:val="24"/>
          <w:szCs w:val="24"/>
        </w:rPr>
        <w:t xml:space="preserve">Ciudad de México, </w:t>
      </w:r>
      <w:r w:rsidR="00BC589B">
        <w:rPr>
          <w:rFonts w:ascii="Geomanist" w:hAnsi="Geomanist"/>
          <w:sz w:val="24"/>
          <w:szCs w:val="24"/>
        </w:rPr>
        <w:t xml:space="preserve">jueves 3 </w:t>
      </w:r>
      <w:r w:rsidRPr="003E523E">
        <w:rPr>
          <w:rFonts w:ascii="Geomanist" w:hAnsi="Geomanist"/>
          <w:sz w:val="24"/>
          <w:szCs w:val="24"/>
        </w:rPr>
        <w:t>de octubre de 2024</w:t>
      </w:r>
    </w:p>
    <w:p w14:paraId="07F95168" w14:textId="6E2D13DF" w:rsidR="00E533EC" w:rsidRPr="003E523E" w:rsidRDefault="00E533EC" w:rsidP="00BC589B">
      <w:pPr>
        <w:spacing w:after="0" w:line="240" w:lineRule="atLeast"/>
        <w:jc w:val="right"/>
        <w:rPr>
          <w:rFonts w:ascii="Geomanist" w:hAnsi="Geomanist"/>
          <w:sz w:val="24"/>
          <w:szCs w:val="24"/>
        </w:rPr>
      </w:pPr>
      <w:r w:rsidRPr="003E523E">
        <w:rPr>
          <w:rFonts w:ascii="Geomanist" w:hAnsi="Geomanist"/>
          <w:sz w:val="24"/>
          <w:szCs w:val="24"/>
        </w:rPr>
        <w:t xml:space="preserve">No. </w:t>
      </w:r>
      <w:r w:rsidR="002F6D4F">
        <w:rPr>
          <w:rFonts w:ascii="Geomanist" w:hAnsi="Geomanist"/>
          <w:sz w:val="24"/>
          <w:szCs w:val="24"/>
        </w:rPr>
        <w:t>004</w:t>
      </w:r>
      <w:r w:rsidRPr="003E523E">
        <w:rPr>
          <w:rFonts w:ascii="Geomanist" w:hAnsi="Geomanist"/>
          <w:sz w:val="24"/>
          <w:szCs w:val="24"/>
        </w:rPr>
        <w:t>/2024</w:t>
      </w:r>
    </w:p>
    <w:p w14:paraId="56BA5DF0" w14:textId="77777777" w:rsidR="00FA35FD" w:rsidRDefault="00FA35FD" w:rsidP="00BC589B">
      <w:pPr>
        <w:spacing w:after="0" w:line="240" w:lineRule="atLeast"/>
      </w:pPr>
    </w:p>
    <w:p w14:paraId="4F197A8A" w14:textId="77777777" w:rsidR="00097579" w:rsidRPr="00097579" w:rsidRDefault="00097579" w:rsidP="00BC589B">
      <w:pPr>
        <w:spacing w:after="0" w:line="240" w:lineRule="atLeast"/>
        <w:jc w:val="center"/>
        <w:rPr>
          <w:rFonts w:ascii="Geomanist" w:hAnsi="Geomanist"/>
          <w:b/>
          <w:bCs/>
          <w:sz w:val="36"/>
          <w:szCs w:val="40"/>
        </w:rPr>
      </w:pPr>
      <w:r w:rsidRPr="00097579">
        <w:rPr>
          <w:rFonts w:ascii="Geomanist" w:hAnsi="Geomanist"/>
          <w:b/>
          <w:bCs/>
          <w:sz w:val="36"/>
          <w:szCs w:val="40"/>
        </w:rPr>
        <w:t>Identificar primeros signos de Alzheimer y controlar factores de riesgo, claves para mejorar calidad de vida</w:t>
      </w:r>
    </w:p>
    <w:p w14:paraId="1F7EE583" w14:textId="77777777" w:rsidR="00097579" w:rsidRPr="00097579" w:rsidRDefault="00097579" w:rsidP="00BC589B">
      <w:pPr>
        <w:spacing w:after="0" w:line="240" w:lineRule="atLeast"/>
        <w:rPr>
          <w:rFonts w:ascii="Geomanist" w:hAnsi="Geomanist"/>
          <w:b/>
          <w:bCs/>
          <w:sz w:val="36"/>
          <w:szCs w:val="40"/>
        </w:rPr>
      </w:pPr>
    </w:p>
    <w:p w14:paraId="6237A336" w14:textId="683ED0EF" w:rsidR="00097579" w:rsidRPr="00097579" w:rsidRDefault="00097579" w:rsidP="00BC589B">
      <w:pPr>
        <w:pStyle w:val="Prrafodelista"/>
        <w:numPr>
          <w:ilvl w:val="0"/>
          <w:numId w:val="2"/>
        </w:numPr>
        <w:spacing w:after="0" w:line="240" w:lineRule="atLeast"/>
        <w:contextualSpacing w:val="0"/>
        <w:jc w:val="both"/>
        <w:rPr>
          <w:rFonts w:ascii="Geomanist" w:hAnsi="Geomanist"/>
          <w:b/>
          <w:bCs/>
          <w:szCs w:val="18"/>
        </w:rPr>
      </w:pPr>
      <w:r w:rsidRPr="00097579">
        <w:rPr>
          <w:rFonts w:ascii="Geomanist" w:hAnsi="Geomanist"/>
          <w:b/>
          <w:bCs/>
          <w:szCs w:val="18"/>
        </w:rPr>
        <w:t xml:space="preserve">El Seguro Social </w:t>
      </w:r>
      <w:r>
        <w:rPr>
          <w:rFonts w:ascii="Geomanist" w:hAnsi="Geomanist"/>
          <w:b/>
          <w:bCs/>
          <w:szCs w:val="18"/>
        </w:rPr>
        <w:t>llama</w:t>
      </w:r>
      <w:r w:rsidRPr="00097579">
        <w:rPr>
          <w:rFonts w:ascii="Geomanist" w:hAnsi="Geomanist"/>
          <w:b/>
          <w:bCs/>
          <w:szCs w:val="18"/>
        </w:rPr>
        <w:t xml:space="preserve"> a la población derechohabiente </w:t>
      </w:r>
      <w:r w:rsidR="00BC589B">
        <w:rPr>
          <w:rFonts w:ascii="Geomanist" w:hAnsi="Geomanist"/>
          <w:b/>
          <w:bCs/>
          <w:szCs w:val="18"/>
        </w:rPr>
        <w:t xml:space="preserve">a </w:t>
      </w:r>
      <w:r w:rsidRPr="00097579">
        <w:rPr>
          <w:rFonts w:ascii="Geomanist" w:hAnsi="Geomanist"/>
          <w:b/>
          <w:bCs/>
          <w:szCs w:val="18"/>
        </w:rPr>
        <w:t>acudir a su Unidad de Medicina Familiar (UMF) si presenta de forma constante pérdida de memoria a corto plazo y desorientación en espacios conocidos.</w:t>
      </w:r>
    </w:p>
    <w:p w14:paraId="0B7D398B" w14:textId="77777777" w:rsidR="00097579" w:rsidRPr="00097579" w:rsidRDefault="00097579" w:rsidP="00BC589B">
      <w:pPr>
        <w:pStyle w:val="Prrafodelista"/>
        <w:numPr>
          <w:ilvl w:val="0"/>
          <w:numId w:val="2"/>
        </w:numPr>
        <w:spacing w:after="0" w:line="240" w:lineRule="atLeast"/>
        <w:contextualSpacing w:val="0"/>
        <w:jc w:val="both"/>
        <w:rPr>
          <w:rFonts w:ascii="Geomanist" w:hAnsi="Geomanist"/>
          <w:b/>
          <w:bCs/>
          <w:szCs w:val="18"/>
        </w:rPr>
      </w:pPr>
      <w:r w:rsidRPr="00097579">
        <w:rPr>
          <w:rFonts w:ascii="Geomanist" w:hAnsi="Geomanist"/>
          <w:b/>
          <w:bCs/>
          <w:szCs w:val="18"/>
        </w:rPr>
        <w:t>Cuenta con especialistas en Neurología y Geriatría para la realización de pruebas cognitivas y de neuroimagen, a fin de realizar un diagnóstico oportuno de la enfermedad.</w:t>
      </w:r>
    </w:p>
    <w:p w14:paraId="5E1544B0" w14:textId="77777777" w:rsidR="00097579" w:rsidRPr="00097579" w:rsidRDefault="00097579" w:rsidP="00BC589B">
      <w:pPr>
        <w:pStyle w:val="Prrafodelista"/>
        <w:numPr>
          <w:ilvl w:val="0"/>
          <w:numId w:val="2"/>
        </w:numPr>
        <w:spacing w:after="0" w:line="240" w:lineRule="atLeast"/>
        <w:contextualSpacing w:val="0"/>
        <w:jc w:val="both"/>
        <w:rPr>
          <w:rFonts w:ascii="Geomanist" w:hAnsi="Geomanist"/>
          <w:b/>
          <w:bCs/>
          <w:szCs w:val="18"/>
        </w:rPr>
      </w:pPr>
      <w:r w:rsidRPr="00097579">
        <w:rPr>
          <w:rFonts w:ascii="Geomanist" w:hAnsi="Geomanist"/>
          <w:b/>
          <w:bCs/>
          <w:szCs w:val="18"/>
        </w:rPr>
        <w:t>Aunque no se puede prevenir completamente, mantener un estilo de vida saludable, con ejercicio regular, dieta equilibrada y realizar actividades como juegos de memoria y lectura, pueden reducir el riesgo de desarrollarla.</w:t>
      </w:r>
    </w:p>
    <w:p w14:paraId="4E91543F" w14:textId="77777777" w:rsidR="00097579" w:rsidRPr="00BC589B" w:rsidRDefault="00097579" w:rsidP="00BC589B">
      <w:pPr>
        <w:spacing w:after="0" w:line="240" w:lineRule="atLeast"/>
        <w:jc w:val="both"/>
        <w:rPr>
          <w:rFonts w:ascii="Geomanist" w:hAnsi="Geomanist"/>
          <w:sz w:val="24"/>
          <w:szCs w:val="24"/>
        </w:rPr>
      </w:pPr>
    </w:p>
    <w:p w14:paraId="70F900CE" w14:textId="402E62CE" w:rsidR="00097579" w:rsidRPr="00BC589B" w:rsidRDefault="00097579" w:rsidP="00BC589B">
      <w:pPr>
        <w:spacing w:after="0" w:line="240" w:lineRule="atLeast"/>
        <w:jc w:val="both"/>
        <w:rPr>
          <w:rFonts w:ascii="Geomanist" w:hAnsi="Geomanist"/>
          <w:sz w:val="24"/>
          <w:szCs w:val="24"/>
        </w:rPr>
      </w:pPr>
      <w:r w:rsidRPr="00BC589B">
        <w:rPr>
          <w:rFonts w:ascii="Geomanist" w:hAnsi="Geomanist"/>
          <w:sz w:val="24"/>
          <w:szCs w:val="24"/>
        </w:rPr>
        <w:t>Si una persona presenta de forma constante pérdida de memoria a corto plazo, dificultades para recordar nombres, eventos recientes, desorientación en lugares conocidos y cambios repentinos en la personalidad o estado de ánimo, es recomendable acudir a valoración a la Unidad de Medicina Familiar (UMF) correspondiente para descartar enfermedad de Alzheimer o atenderla oportunamente.</w:t>
      </w:r>
    </w:p>
    <w:p w14:paraId="1BA0DC1E" w14:textId="77777777" w:rsidR="00097579" w:rsidRPr="00BC589B" w:rsidRDefault="00097579" w:rsidP="00BC589B">
      <w:pPr>
        <w:spacing w:after="0" w:line="240" w:lineRule="atLeast"/>
        <w:jc w:val="both"/>
        <w:rPr>
          <w:rFonts w:ascii="Geomanist" w:hAnsi="Geomanist"/>
          <w:sz w:val="24"/>
          <w:szCs w:val="24"/>
        </w:rPr>
      </w:pPr>
    </w:p>
    <w:p w14:paraId="0529395A" w14:textId="159670A8" w:rsidR="00097579" w:rsidRPr="00BC589B" w:rsidRDefault="00BC589B" w:rsidP="00BC589B">
      <w:pPr>
        <w:spacing w:after="0" w:line="240" w:lineRule="atLeast"/>
        <w:jc w:val="both"/>
        <w:rPr>
          <w:rFonts w:ascii="Geomanist" w:hAnsi="Geomanist"/>
          <w:sz w:val="24"/>
          <w:szCs w:val="24"/>
        </w:rPr>
      </w:pPr>
      <w:r>
        <w:rPr>
          <w:rFonts w:ascii="Geomanist" w:hAnsi="Geomanist"/>
          <w:sz w:val="24"/>
          <w:szCs w:val="24"/>
        </w:rPr>
        <w:t>E</w:t>
      </w:r>
      <w:r w:rsidR="00097579" w:rsidRPr="00BC589B">
        <w:rPr>
          <w:rFonts w:ascii="Geomanist" w:hAnsi="Geomanist"/>
          <w:sz w:val="24"/>
          <w:szCs w:val="24"/>
        </w:rPr>
        <w:t xml:space="preserve">l doctor Máximo León Vázquez. Neurólogo epileptólogo adscrito a la Clínica de Epilepsia del Hospital de Especialidades del Centro Médico Nacional (CMN) La Raza, señaló que el IMSS cuenta con médicos de primer contacto para realizar una evaluación inicial y, si se sospecha de la presencia de esta enfermedad, los pacientes son remitidos a un especialista en Neurología o Geriatría para </w:t>
      </w:r>
      <w:r w:rsidR="007241C8">
        <w:rPr>
          <w:rFonts w:ascii="Geomanist" w:hAnsi="Geomanist"/>
          <w:sz w:val="24"/>
          <w:szCs w:val="24"/>
        </w:rPr>
        <w:t>realizarle</w:t>
      </w:r>
      <w:r w:rsidR="00097579" w:rsidRPr="00BC589B">
        <w:rPr>
          <w:rFonts w:ascii="Geomanist" w:hAnsi="Geomanist"/>
          <w:sz w:val="24"/>
          <w:szCs w:val="24"/>
        </w:rPr>
        <w:t xml:space="preserve"> estudios más avanzados, como pruebas cognitivas y de neuroimagen.</w:t>
      </w:r>
    </w:p>
    <w:p w14:paraId="1989EBFE" w14:textId="77777777" w:rsidR="00097579" w:rsidRPr="00BC589B" w:rsidRDefault="00097579" w:rsidP="00BC589B">
      <w:pPr>
        <w:spacing w:after="0" w:line="240" w:lineRule="atLeast"/>
        <w:jc w:val="both"/>
        <w:rPr>
          <w:rFonts w:ascii="Geomanist" w:hAnsi="Geomanist"/>
          <w:sz w:val="24"/>
          <w:szCs w:val="24"/>
        </w:rPr>
      </w:pPr>
    </w:p>
    <w:p w14:paraId="5B2F2EE3" w14:textId="77777777" w:rsidR="00097579" w:rsidRPr="00BC589B" w:rsidRDefault="00097579" w:rsidP="00BC589B">
      <w:pPr>
        <w:spacing w:after="0" w:line="240" w:lineRule="atLeast"/>
        <w:jc w:val="both"/>
        <w:rPr>
          <w:rFonts w:ascii="Geomanist" w:hAnsi="Geomanist"/>
          <w:sz w:val="24"/>
          <w:szCs w:val="24"/>
        </w:rPr>
      </w:pPr>
      <w:r w:rsidRPr="00BC589B">
        <w:rPr>
          <w:rFonts w:ascii="Geomanist" w:hAnsi="Geomanist"/>
          <w:sz w:val="24"/>
          <w:szCs w:val="24"/>
        </w:rPr>
        <w:t>“La enfermedad de Alzheimer es un trastorno neurodegenerativo progresivo que afecta principalmente la memoria y otras funciones cognitivas. Se caracteriza por un deterioro cognitivo y funcional que impacta de manera significativa la vida diaria del paciente”, indicó.</w:t>
      </w:r>
    </w:p>
    <w:p w14:paraId="3C269C79" w14:textId="77777777" w:rsidR="00097579" w:rsidRPr="00BC589B" w:rsidRDefault="00097579" w:rsidP="00BC589B">
      <w:pPr>
        <w:spacing w:after="0" w:line="240" w:lineRule="atLeast"/>
        <w:jc w:val="both"/>
        <w:rPr>
          <w:rFonts w:ascii="Geomanist" w:hAnsi="Geomanist"/>
          <w:sz w:val="24"/>
          <w:szCs w:val="24"/>
        </w:rPr>
      </w:pPr>
    </w:p>
    <w:p w14:paraId="304D97EA" w14:textId="77777777" w:rsidR="00097579" w:rsidRPr="00BC589B" w:rsidRDefault="00097579" w:rsidP="00BC589B">
      <w:pPr>
        <w:spacing w:after="0" w:line="240" w:lineRule="atLeast"/>
        <w:jc w:val="both"/>
        <w:rPr>
          <w:rFonts w:ascii="Geomanist" w:hAnsi="Geomanist"/>
          <w:sz w:val="24"/>
          <w:szCs w:val="24"/>
        </w:rPr>
      </w:pPr>
      <w:r w:rsidRPr="00BC589B">
        <w:rPr>
          <w:rFonts w:ascii="Geomanist" w:hAnsi="Geomanist"/>
          <w:sz w:val="24"/>
          <w:szCs w:val="24"/>
        </w:rPr>
        <w:t xml:space="preserve">Señaló que el Alzheimer es más común en personas mayores de 65 años, aunque también existe una forma de inicio temprano que puede manifestarse entre los 40 y 50 años; sin embargo, la mayoría de los casos se diagnostican en adultos mayores y es la principal causa de demencia en este grupo de edad. </w:t>
      </w:r>
    </w:p>
    <w:p w14:paraId="2BC9AA33" w14:textId="77777777" w:rsidR="00097579" w:rsidRPr="00BC589B" w:rsidRDefault="00097579" w:rsidP="00BC589B">
      <w:pPr>
        <w:spacing w:after="0" w:line="240" w:lineRule="atLeast"/>
        <w:jc w:val="both"/>
        <w:rPr>
          <w:rFonts w:ascii="Geomanist" w:hAnsi="Geomanist"/>
          <w:sz w:val="24"/>
          <w:szCs w:val="24"/>
        </w:rPr>
      </w:pPr>
    </w:p>
    <w:p w14:paraId="72933739" w14:textId="77777777" w:rsidR="00097579" w:rsidRPr="00BC589B" w:rsidRDefault="00097579" w:rsidP="00BC589B">
      <w:pPr>
        <w:spacing w:after="0" w:line="240" w:lineRule="atLeast"/>
        <w:jc w:val="both"/>
        <w:rPr>
          <w:rFonts w:ascii="Geomanist" w:hAnsi="Geomanist"/>
          <w:sz w:val="24"/>
          <w:szCs w:val="24"/>
        </w:rPr>
      </w:pPr>
      <w:r w:rsidRPr="00BC589B">
        <w:rPr>
          <w:rFonts w:ascii="Geomanist" w:hAnsi="Geomanist"/>
          <w:sz w:val="24"/>
          <w:szCs w:val="24"/>
        </w:rPr>
        <w:t>Subrayó que, aunque no se puede prevenir completamente, estudios sugieren que mantener un estilo de vida saludable puede reducir el riesgo de desarrollar la enfermedad.</w:t>
      </w:r>
    </w:p>
    <w:p w14:paraId="14BA779A" w14:textId="77777777" w:rsidR="00097579" w:rsidRPr="00BC589B" w:rsidRDefault="00097579" w:rsidP="00BC589B">
      <w:pPr>
        <w:spacing w:after="0" w:line="240" w:lineRule="atLeast"/>
        <w:jc w:val="both"/>
        <w:rPr>
          <w:rFonts w:ascii="Geomanist" w:hAnsi="Geomanist"/>
          <w:sz w:val="24"/>
          <w:szCs w:val="24"/>
        </w:rPr>
      </w:pPr>
    </w:p>
    <w:p w14:paraId="508B0604" w14:textId="77777777" w:rsidR="00097579" w:rsidRPr="00BC589B" w:rsidRDefault="00097579" w:rsidP="00BC589B">
      <w:pPr>
        <w:spacing w:after="0" w:line="240" w:lineRule="atLeast"/>
        <w:jc w:val="both"/>
        <w:rPr>
          <w:rFonts w:ascii="Geomanist" w:hAnsi="Geomanist"/>
          <w:sz w:val="24"/>
          <w:szCs w:val="24"/>
        </w:rPr>
      </w:pPr>
      <w:r w:rsidRPr="00BC589B">
        <w:rPr>
          <w:rFonts w:ascii="Geomanist" w:hAnsi="Geomanist"/>
          <w:sz w:val="24"/>
          <w:szCs w:val="24"/>
        </w:rPr>
        <w:t>“El IMSS recomienda controlar factores de riesgo como la hipertensión, la diabetes y la obesidad, además de fomentar hábitos saludables como una dieta equilibrada, ejercicio regular, evitar el tabaquismo y mantener la mente activa mediante juegos de memoria, lectura y diversas actividades cognitivas”, señaló.</w:t>
      </w:r>
    </w:p>
    <w:p w14:paraId="0072B4B4" w14:textId="77777777" w:rsidR="00097579" w:rsidRPr="00BC589B" w:rsidRDefault="00097579" w:rsidP="00BC589B">
      <w:pPr>
        <w:spacing w:after="0" w:line="240" w:lineRule="atLeast"/>
        <w:jc w:val="both"/>
        <w:rPr>
          <w:rFonts w:ascii="Geomanist" w:hAnsi="Geomanist"/>
          <w:sz w:val="24"/>
          <w:szCs w:val="24"/>
        </w:rPr>
      </w:pPr>
    </w:p>
    <w:p w14:paraId="4B8B0A6C" w14:textId="53364EF3" w:rsidR="00097579" w:rsidRPr="00BC589B" w:rsidRDefault="00097579" w:rsidP="00BC589B">
      <w:pPr>
        <w:spacing w:after="0" w:line="240" w:lineRule="atLeast"/>
        <w:jc w:val="both"/>
        <w:rPr>
          <w:rFonts w:ascii="Geomanist" w:hAnsi="Geomanist"/>
          <w:sz w:val="24"/>
          <w:szCs w:val="24"/>
        </w:rPr>
      </w:pPr>
      <w:r w:rsidRPr="00BC589B">
        <w:rPr>
          <w:rFonts w:ascii="Geomanist" w:hAnsi="Geomanist"/>
          <w:sz w:val="24"/>
          <w:szCs w:val="24"/>
        </w:rPr>
        <w:t xml:space="preserve">El Seguro Social ofrece un enfoque integral que incluye tratamientos farmacológicos para tratar los </w:t>
      </w:r>
      <w:r w:rsidR="00BC589B" w:rsidRPr="00BC589B">
        <w:rPr>
          <w:rFonts w:ascii="Geomanist" w:hAnsi="Geomanist"/>
          <w:sz w:val="24"/>
          <w:szCs w:val="24"/>
        </w:rPr>
        <w:t>síntomas</w:t>
      </w:r>
      <w:r w:rsidRPr="00BC589B">
        <w:rPr>
          <w:rFonts w:ascii="Geomanist" w:hAnsi="Geomanist"/>
          <w:sz w:val="24"/>
          <w:szCs w:val="24"/>
        </w:rPr>
        <w:t xml:space="preserve"> que afectan la conducta y el estado de ánimo de los pacientes diagnosticados. Además, ofrece terapias de rehabilitación, apoyo psicológico, psiquiátrico y servicios de cuidados paliativos.</w:t>
      </w:r>
    </w:p>
    <w:p w14:paraId="301BB172" w14:textId="77777777" w:rsidR="00097579" w:rsidRPr="00BC589B" w:rsidRDefault="00097579" w:rsidP="00BC589B">
      <w:pPr>
        <w:spacing w:after="0" w:line="240" w:lineRule="atLeast"/>
        <w:jc w:val="both"/>
        <w:rPr>
          <w:rFonts w:ascii="Geomanist" w:hAnsi="Geomanist"/>
          <w:sz w:val="24"/>
          <w:szCs w:val="24"/>
        </w:rPr>
      </w:pPr>
    </w:p>
    <w:p w14:paraId="31732A0C" w14:textId="77777777" w:rsidR="00097579" w:rsidRPr="00BC589B" w:rsidRDefault="00097579" w:rsidP="00BC589B">
      <w:pPr>
        <w:spacing w:after="0" w:line="240" w:lineRule="atLeast"/>
        <w:jc w:val="both"/>
        <w:rPr>
          <w:rFonts w:ascii="Geomanist" w:hAnsi="Geomanist"/>
          <w:sz w:val="24"/>
          <w:szCs w:val="24"/>
        </w:rPr>
      </w:pPr>
      <w:r w:rsidRPr="00BC589B">
        <w:rPr>
          <w:rFonts w:ascii="Geomanist" w:hAnsi="Geomanist"/>
          <w:sz w:val="24"/>
          <w:szCs w:val="24"/>
        </w:rPr>
        <w:t>“El Día Mundial del Alzheimer es fundamental para concientizar sobre esta enfermedad, promover la investigación y apoyar a los pacientes y sus familias. Además, visibiliza la necesidad de políticas públicas y recursos para mejorar la atención y los servicios disponibles para quienes padecen la enfermedad y sus cuidadores”, dijo el doctor León Vázquez.</w:t>
      </w:r>
    </w:p>
    <w:p w14:paraId="2A20DAB7" w14:textId="77777777" w:rsidR="00097579" w:rsidRPr="00BC589B" w:rsidRDefault="00097579" w:rsidP="00BC589B">
      <w:pPr>
        <w:spacing w:after="0" w:line="240" w:lineRule="atLeast"/>
        <w:jc w:val="both"/>
        <w:rPr>
          <w:rFonts w:ascii="Geomanist" w:hAnsi="Geomanist"/>
          <w:b/>
          <w:bCs/>
          <w:sz w:val="24"/>
          <w:szCs w:val="24"/>
        </w:rPr>
      </w:pPr>
    </w:p>
    <w:p w14:paraId="41A2F35B" w14:textId="77777777" w:rsidR="004567E8" w:rsidRDefault="00097579" w:rsidP="00BC589B">
      <w:pPr>
        <w:spacing w:after="0" w:line="240" w:lineRule="atLeast"/>
        <w:jc w:val="center"/>
        <w:rPr>
          <w:rFonts w:ascii="Geomanist" w:hAnsi="Geomanist"/>
          <w:b/>
          <w:bCs/>
          <w:sz w:val="24"/>
          <w:szCs w:val="24"/>
        </w:rPr>
      </w:pPr>
      <w:r w:rsidRPr="00BC589B">
        <w:rPr>
          <w:rFonts w:ascii="Geomanist" w:hAnsi="Geomanist"/>
          <w:b/>
          <w:bCs/>
          <w:sz w:val="24"/>
          <w:szCs w:val="24"/>
        </w:rPr>
        <w:t>---o0o---</w:t>
      </w:r>
    </w:p>
    <w:p w14:paraId="4973557A" w14:textId="48E2D8C6" w:rsidR="00097579" w:rsidRPr="004567E8" w:rsidRDefault="004567E8" w:rsidP="004567E8">
      <w:pPr>
        <w:spacing w:after="0" w:line="240" w:lineRule="atLeast"/>
        <w:rPr>
          <w:rFonts w:ascii="Geomanist" w:hAnsi="Geomanist"/>
          <w:sz w:val="24"/>
          <w:szCs w:val="24"/>
        </w:rPr>
      </w:pPr>
      <w:r>
        <w:rPr>
          <w:rFonts w:ascii="Geomanist" w:hAnsi="Geomanist"/>
          <w:b/>
          <w:bCs/>
          <w:sz w:val="24"/>
          <w:szCs w:val="24"/>
        </w:rPr>
        <w:br/>
      </w:r>
      <w:r>
        <w:rPr>
          <w:rFonts w:ascii="Geomanist" w:hAnsi="Geomanist"/>
          <w:b/>
          <w:bCs/>
          <w:sz w:val="24"/>
          <w:szCs w:val="24"/>
        </w:rPr>
        <w:br/>
      </w:r>
      <w:proofErr w:type="gramStart"/>
      <w:r>
        <w:rPr>
          <w:rFonts w:ascii="Geomanist" w:hAnsi="Geomanist"/>
          <w:b/>
          <w:bCs/>
          <w:sz w:val="24"/>
          <w:szCs w:val="24"/>
        </w:rPr>
        <w:t>LINK</w:t>
      </w:r>
      <w:proofErr w:type="gramEnd"/>
      <w:r>
        <w:rPr>
          <w:rFonts w:ascii="Geomanist" w:hAnsi="Geomanist"/>
          <w:b/>
          <w:bCs/>
          <w:sz w:val="24"/>
          <w:szCs w:val="24"/>
        </w:rPr>
        <w:t xml:space="preserve"> DE FOTOS</w:t>
      </w:r>
      <w:r>
        <w:rPr>
          <w:rFonts w:ascii="Geomanist" w:hAnsi="Geomanist"/>
          <w:b/>
          <w:bCs/>
          <w:sz w:val="24"/>
          <w:szCs w:val="24"/>
        </w:rPr>
        <w:br/>
      </w:r>
      <w:hyperlink r:id="rId8" w:history="1">
        <w:r w:rsidRPr="004567E8">
          <w:rPr>
            <w:rStyle w:val="Hipervnculo"/>
            <w:rFonts w:ascii="Geomanist" w:hAnsi="Geomanist"/>
            <w:sz w:val="24"/>
            <w:szCs w:val="24"/>
          </w:rPr>
          <w:t>https://drive.google.com/drive/folders/1ktpdzJs0ZsnZglj-npDAtIOa02_G5o9x</w:t>
        </w:r>
      </w:hyperlink>
    </w:p>
    <w:p w14:paraId="57A6F5F4" w14:textId="77777777" w:rsidR="004567E8" w:rsidRPr="00BC589B" w:rsidRDefault="004567E8" w:rsidP="004567E8">
      <w:pPr>
        <w:spacing w:after="0" w:line="240" w:lineRule="atLeast"/>
        <w:rPr>
          <w:rFonts w:ascii="Geomanist" w:hAnsi="Geomanist"/>
          <w:b/>
          <w:bCs/>
          <w:sz w:val="24"/>
          <w:szCs w:val="24"/>
        </w:rPr>
      </w:pPr>
    </w:p>
    <w:sectPr w:rsidR="004567E8" w:rsidRPr="00BC589B">
      <w:headerReference w:type="default" r:id="rId9"/>
      <w:footerReference w:type="default" r:id="rId10"/>
      <w:pgSz w:w="12240" w:h="15840"/>
      <w:pgMar w:top="2269"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4BEE15" w14:textId="77777777" w:rsidR="00CC26AC" w:rsidRDefault="00CC26AC">
      <w:pPr>
        <w:spacing w:after="0" w:line="240" w:lineRule="auto"/>
      </w:pPr>
      <w:r>
        <w:separator/>
      </w:r>
    </w:p>
  </w:endnote>
  <w:endnote w:type="continuationSeparator" w:id="0">
    <w:p w14:paraId="35670AE7" w14:textId="77777777" w:rsidR="00CC26AC" w:rsidRDefault="00CC26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charset w:val="00"/>
    <w:family w:val="auto"/>
    <w:pitch w:val="variable"/>
    <w:sig w:usb0="2000020F" w:usb1="00000003" w:usb2="00000000" w:usb3="00000000" w:csb0="00000197" w:csb1="00000000"/>
    <w:embedRegular r:id="rId1" w:fontKey="{68BAF25F-C791-4E07-B333-9677DD083B5E}"/>
    <w:embedBold r:id="rId2" w:fontKey="{1E00190A-3840-4CFF-933A-F1808BF0AD79}"/>
  </w:font>
  <w:font w:name="Tahoma">
    <w:panose1 w:val="020B0604030504040204"/>
    <w:charset w:val="00"/>
    <w:family w:val="swiss"/>
    <w:pitch w:val="variable"/>
    <w:sig w:usb0="E1002EFF" w:usb1="C000605B" w:usb2="00000029" w:usb3="00000000" w:csb0="000101FF" w:csb1="00000000"/>
    <w:embedRegular r:id="rId3" w:fontKey="{ECCF5AAE-755E-469B-86E8-DE8A43149DA9}"/>
  </w:font>
  <w:font w:name="Georgia">
    <w:panose1 w:val="02040502050405020303"/>
    <w:charset w:val="00"/>
    <w:family w:val="roman"/>
    <w:pitch w:val="variable"/>
    <w:sig w:usb0="00000287" w:usb1="00000000" w:usb2="00000000" w:usb3="00000000" w:csb0="0000009F" w:csb1="00000000"/>
    <w:embedRegular r:id="rId4" w:fontKey="{1DBDEF60-6B51-47AB-B89A-0ED1E8975F53}"/>
    <w:embedItalic r:id="rId5" w:fontKey="{7FB4C6EF-A12B-4E57-9C16-2FE86C07B3C3}"/>
  </w:font>
  <w:font w:name="Geomanist">
    <w:altName w:val="Calibri"/>
    <w:panose1 w:val="00000000000000000000"/>
    <w:charset w:val="00"/>
    <w:family w:val="modern"/>
    <w:notTrueType/>
    <w:pitch w:val="variable"/>
    <w:sig w:usb0="A000002F" w:usb1="1000004A" w:usb2="00000000" w:usb3="00000000" w:csb0="00000193" w:csb1="00000000"/>
  </w:font>
  <w:font w:name="Montserrat SemiBold">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90B7F" w14:textId="77777777" w:rsidR="00FA35FD" w:rsidRDefault="00FA35FD">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80D441" w14:textId="77777777" w:rsidR="00CC26AC" w:rsidRDefault="00CC26AC">
      <w:pPr>
        <w:spacing w:after="0" w:line="240" w:lineRule="auto"/>
      </w:pPr>
      <w:r>
        <w:separator/>
      </w:r>
    </w:p>
  </w:footnote>
  <w:footnote w:type="continuationSeparator" w:id="0">
    <w:p w14:paraId="29CED2A6" w14:textId="77777777" w:rsidR="00CC26AC" w:rsidRDefault="00CC26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43834" w14:textId="77777777" w:rsidR="00FA35FD" w:rsidRDefault="00BC589B">
    <w:pPr>
      <w:pBdr>
        <w:top w:val="nil"/>
        <w:left w:val="nil"/>
        <w:bottom w:val="nil"/>
        <w:right w:val="nil"/>
        <w:between w:val="nil"/>
      </w:pBdr>
      <w:tabs>
        <w:tab w:val="center" w:pos="4419"/>
        <w:tab w:val="right" w:pos="8838"/>
      </w:tabs>
      <w:spacing w:after="0" w:line="240" w:lineRule="auto"/>
      <w:rPr>
        <w:color w:val="000000"/>
      </w:rPr>
    </w:pPr>
    <w:r>
      <w:rPr>
        <w:noProof/>
      </w:rPr>
      <w:drawing>
        <wp:anchor distT="114300" distB="114300" distL="114300" distR="114300" simplePos="0" relativeHeight="251659776" behindDoc="1" locked="0" layoutInCell="1" hidden="0" allowOverlap="1" wp14:anchorId="0DFA8EDC" wp14:editId="604750D5">
          <wp:simplePos x="0" y="0"/>
          <wp:positionH relativeFrom="column">
            <wp:posOffset>-1057274</wp:posOffset>
          </wp:positionH>
          <wp:positionV relativeFrom="paragraph">
            <wp:posOffset>-335279</wp:posOffset>
          </wp:positionV>
          <wp:extent cx="7750810" cy="10035564"/>
          <wp:effectExtent l="0" t="0" r="0" b="0"/>
          <wp:wrapNone/>
          <wp:docPr id="165717562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750810" cy="10035564"/>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98420E"/>
    <w:multiLevelType w:val="hybridMultilevel"/>
    <w:tmpl w:val="93745F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56179FA"/>
    <w:multiLevelType w:val="hybridMultilevel"/>
    <w:tmpl w:val="6CC88B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37628459">
    <w:abstractNumId w:val="1"/>
  </w:num>
  <w:num w:numId="2" w16cid:durableId="18362645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35FD"/>
    <w:rsid w:val="00097579"/>
    <w:rsid w:val="002F6D4F"/>
    <w:rsid w:val="003E523E"/>
    <w:rsid w:val="00423820"/>
    <w:rsid w:val="004567E8"/>
    <w:rsid w:val="005B489A"/>
    <w:rsid w:val="006A0D57"/>
    <w:rsid w:val="007241C8"/>
    <w:rsid w:val="007255B8"/>
    <w:rsid w:val="00763FCC"/>
    <w:rsid w:val="00A64B6F"/>
    <w:rsid w:val="00BC589B"/>
    <w:rsid w:val="00C94351"/>
    <w:rsid w:val="00CC26AC"/>
    <w:rsid w:val="00E533EC"/>
    <w:rsid w:val="00FA35FD"/>
    <w:rsid w:val="00FB093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26971"/>
  <w15:docId w15:val="{ED078ECE-5378-4AE9-9450-73A057753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ontserrat" w:eastAsia="Montserrat" w:hAnsi="Montserrat" w:cs="Montserrat"/>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basedOn w:val="Normal"/>
    <w:link w:val="PrrafodelistaCar"/>
    <w:uiPriority w:val="34"/>
    <w:qFormat/>
    <w:rsid w:val="00763FCC"/>
    <w:pPr>
      <w:spacing w:after="160" w:line="259" w:lineRule="auto"/>
      <w:ind w:left="720"/>
      <w:contextualSpacing/>
    </w:pPr>
    <w:rPr>
      <w:rFonts w:asciiTheme="minorHAnsi" w:eastAsiaTheme="minorHAnsi" w:hAnsiTheme="minorHAnsi" w:cstheme="minorBidi"/>
      <w:lang w:eastAsia="en-US"/>
    </w:rPr>
  </w:style>
  <w:style w:type="character" w:customStyle="1" w:styleId="PrrafodelistaCar">
    <w:name w:val="Párrafo de lista Car"/>
    <w:link w:val="Prrafodelista"/>
    <w:uiPriority w:val="34"/>
    <w:qFormat/>
    <w:locked/>
    <w:rsid w:val="00763FCC"/>
    <w:rPr>
      <w:rFonts w:asciiTheme="minorHAnsi" w:eastAsiaTheme="minorHAnsi" w:hAnsiTheme="minorHAnsi" w:cstheme="minorBidi"/>
      <w:lang w:eastAsia="en-US"/>
    </w:rPr>
  </w:style>
  <w:style w:type="character" w:styleId="Hipervnculo">
    <w:name w:val="Hyperlink"/>
    <w:basedOn w:val="Fuentedeprrafopredeter"/>
    <w:uiPriority w:val="99"/>
    <w:unhideWhenUsed/>
    <w:rsid w:val="004567E8"/>
    <w:rPr>
      <w:color w:val="0000FF" w:themeColor="hyperlink"/>
      <w:u w:val="single"/>
    </w:rPr>
  </w:style>
  <w:style w:type="character" w:styleId="Mencinsinresolver">
    <w:name w:val="Unresolved Mention"/>
    <w:basedOn w:val="Fuentedeprrafopredeter"/>
    <w:uiPriority w:val="99"/>
    <w:semiHidden/>
    <w:unhideWhenUsed/>
    <w:rsid w:val="004567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ktpdzJs0ZsnZglj-npDAtIOa02_G5o9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IAOs1C0mTnETyvTc8d9lxaFvuwA==">CgMxLjAyCGguZ2pkZ3hzOAByITFwakR3RGc0N3pjejA3WVZwcVc3YTVrdEhCZXNwcmdpcQ==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www.w3.org/2000/xmlns/"/>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543</Words>
  <Characters>2988</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dcterms:created xsi:type="dcterms:W3CDTF">2024-10-03T21:03:00Z</dcterms:created>
  <dcterms:modified xsi:type="dcterms:W3CDTF">2024-10-03T21:03:00Z</dcterms:modified>
</cp:coreProperties>
</file>