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854E46" w14:textId="77777777"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2F84307C" wp14:editId="0B04217E">
                <wp:simplePos x="0" y="0"/>
                <wp:positionH relativeFrom="column">
                  <wp:posOffset>2302510</wp:posOffset>
                </wp:positionH>
                <wp:positionV relativeFrom="paragraph">
                  <wp:posOffset>0</wp:posOffset>
                </wp:positionV>
                <wp:extent cx="3845560" cy="699135"/>
                <wp:effectExtent l="0" t="0" r="2540" b="5715"/>
                <wp:wrapSquare wrapText="bothSides"/>
                <wp:docPr id="3" name="Text Box 2"/>
                <wp:cNvGraphicFramePr/>
                <a:graphic xmlns:a="http://schemas.openxmlformats.org/drawingml/2006/main">
                  <a:graphicData uri="http://schemas.microsoft.com/office/word/2010/wordprocessingShape">
                    <wps:wsp>
                      <wps:cNvSpPr/>
                      <wps:spPr>
                        <a:xfrm>
                          <a:off x="0" y="0"/>
                          <a:ext cx="3845560" cy="699135"/>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14:paraId="5D78E491" w14:textId="77777777" w:rsidR="00532889" w:rsidRDefault="00532889" w:rsidP="00103955">
                            <w:pPr>
                              <w:spacing w:before="120" w:after="40" w:line="182" w:lineRule="auto"/>
                              <w:jc w:val="right"/>
                              <w:rPr>
                                <w:rFonts w:ascii="Noto Sans" w:hAnsi="Noto Sans"/>
                                <w:color w:val="BA8C54"/>
                                <w:sz w:val="28"/>
                                <w:szCs w:val="28"/>
                                <w:lang w:val="en-US"/>
                              </w:rPr>
                            </w:pPr>
                            <w:r>
                              <w:rPr>
                                <w:rFonts w:ascii="Noto Sans" w:hAnsi="Noto Sans"/>
                                <w:color w:val="BA8C54"/>
                                <w:sz w:val="28"/>
                                <w:szCs w:val="28"/>
                                <w:lang w:val="en-US"/>
                              </w:rPr>
                              <w:t>BOLETÍN DE PRENSA</w:t>
                            </w:r>
                          </w:p>
                          <w:p w14:paraId="01E57867" w14:textId="6C30ECEB" w:rsidR="00532889" w:rsidRDefault="001571BE"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 xml:space="preserve">Ciudad de México, </w:t>
                            </w:r>
                            <w:proofErr w:type="gramStart"/>
                            <w:r>
                              <w:rPr>
                                <w:rFonts w:ascii="Noto Sans" w:hAnsi="Noto Sans"/>
                                <w:color w:val="000000" w:themeColor="dark1"/>
                                <w:sz w:val="20"/>
                                <w:szCs w:val="20"/>
                                <w:lang w:val="en-US"/>
                              </w:rPr>
                              <w:t>31</w:t>
                            </w:r>
                            <w:r w:rsidR="00532889">
                              <w:rPr>
                                <w:rFonts w:ascii="Noto Sans" w:hAnsi="Noto Sans"/>
                                <w:color w:val="000000" w:themeColor="dark1"/>
                                <w:sz w:val="20"/>
                                <w:szCs w:val="20"/>
                                <w:lang w:val="en-US"/>
                              </w:rPr>
                              <w:t xml:space="preserve"> de</w:t>
                            </w:r>
                            <w:proofErr w:type="gramEnd"/>
                            <w:r w:rsidR="00532889">
                              <w:rPr>
                                <w:rFonts w:ascii="Noto Sans" w:hAnsi="Noto Sans"/>
                                <w:color w:val="000000" w:themeColor="dark1"/>
                                <w:sz w:val="20"/>
                                <w:szCs w:val="20"/>
                                <w:lang w:val="en-US"/>
                              </w:rPr>
                              <w:t xml:space="preserve"> </w:t>
                            </w:r>
                            <w:proofErr w:type="spellStart"/>
                            <w:r w:rsidR="00532889">
                              <w:rPr>
                                <w:rFonts w:ascii="Noto Sans" w:hAnsi="Noto Sans"/>
                                <w:color w:val="000000" w:themeColor="dark1"/>
                                <w:sz w:val="20"/>
                                <w:szCs w:val="20"/>
                                <w:lang w:val="en-US"/>
                              </w:rPr>
                              <w:t>octubre</w:t>
                            </w:r>
                            <w:proofErr w:type="spellEnd"/>
                            <w:r w:rsidR="00532889">
                              <w:rPr>
                                <w:rFonts w:ascii="Noto Sans" w:hAnsi="Noto Sans"/>
                                <w:color w:val="000000" w:themeColor="dark1"/>
                                <w:sz w:val="20"/>
                                <w:szCs w:val="20"/>
                                <w:lang w:val="en-US"/>
                              </w:rPr>
                              <w:t xml:space="preserve"> de 2026 </w:t>
                            </w:r>
                          </w:p>
                          <w:p w14:paraId="5B48C635" w14:textId="7CFA0BFD" w:rsidR="00532889" w:rsidRDefault="00530FFA"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No. 568</w:t>
                            </w:r>
                            <w:bookmarkStart w:id="0" w:name="_GoBack"/>
                            <w:bookmarkEnd w:id="0"/>
                            <w:r w:rsidR="00532889">
                              <w:rPr>
                                <w:rFonts w:ascii="Noto Sans" w:hAnsi="Noto Sans"/>
                                <w:color w:val="000000" w:themeColor="dark1"/>
                                <w:sz w:val="20"/>
                                <w:szCs w:val="20"/>
                                <w:lang w:val="en-US"/>
                              </w:rPr>
                              <w:t>/2026</w:t>
                            </w:r>
                          </w:p>
                          <w:p w14:paraId="11E8C157" w14:textId="77777777" w:rsidR="00532889" w:rsidRDefault="00532889"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 </w:t>
                            </w:r>
                          </w:p>
                        </w:txbxContent>
                      </wps:txbx>
                      <wps:bodyPr spcFirstLastPara="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2F84307C" id="Text Box 2" o:spid="_x0000_s1026" style="position:absolute;left:0;text-align:left;margin-left:181.3pt;margin-top:0;width:302.8pt;height:5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" filled="f" stroked="f">
                <v:textbox inset="0,0,0,0">
                  <w:txbxContent>
                    <w:p w14:paraId="5D78E491" w14:textId="77777777" w:rsidR="00532889" w:rsidRDefault="00532889" w:rsidP="00103955">
                      <w:pPr>
                        <w:spacing w:before="120" w:after="40" w:line="182" w:lineRule="auto"/>
                        <w:jc w:val="right"/>
                        <w:rPr>
                          <w:rFonts w:ascii="Noto Sans" w:hAnsi="Noto Sans"/>
                          <w:color w:val="BA8C54"/>
                          <w:sz w:val="28"/>
                          <w:szCs w:val="28"/>
                          <w:lang w:val="en-US"/>
                        </w:rPr>
                      </w:pPr>
                      <w:r>
                        <w:rPr>
                          <w:rFonts w:ascii="Noto Sans" w:hAnsi="Noto Sans"/>
                          <w:color w:val="BA8C54"/>
                          <w:sz w:val="28"/>
                          <w:szCs w:val="28"/>
                          <w:lang w:val="en-US"/>
                        </w:rPr>
                        <w:t>BOLETÍN DE PRENSA</w:t>
                      </w:r>
                    </w:p>
                    <w:p w14:paraId="01E57867" w14:textId="6C30ECEB" w:rsidR="00532889" w:rsidRDefault="001571BE"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 xml:space="preserve">Ciudad de México, </w:t>
                      </w:r>
                      <w:proofErr w:type="gramStart"/>
                      <w:r>
                        <w:rPr>
                          <w:rFonts w:ascii="Noto Sans" w:hAnsi="Noto Sans"/>
                          <w:color w:val="000000" w:themeColor="dark1"/>
                          <w:sz w:val="20"/>
                          <w:szCs w:val="20"/>
                          <w:lang w:val="en-US"/>
                        </w:rPr>
                        <w:t>31</w:t>
                      </w:r>
                      <w:r w:rsidR="00532889">
                        <w:rPr>
                          <w:rFonts w:ascii="Noto Sans" w:hAnsi="Noto Sans"/>
                          <w:color w:val="000000" w:themeColor="dark1"/>
                          <w:sz w:val="20"/>
                          <w:szCs w:val="20"/>
                          <w:lang w:val="en-US"/>
                        </w:rPr>
                        <w:t xml:space="preserve"> de</w:t>
                      </w:r>
                      <w:proofErr w:type="gramEnd"/>
                      <w:r w:rsidR="00532889">
                        <w:rPr>
                          <w:rFonts w:ascii="Noto Sans" w:hAnsi="Noto Sans"/>
                          <w:color w:val="000000" w:themeColor="dark1"/>
                          <w:sz w:val="20"/>
                          <w:szCs w:val="20"/>
                          <w:lang w:val="en-US"/>
                        </w:rPr>
                        <w:t xml:space="preserve"> </w:t>
                      </w:r>
                      <w:proofErr w:type="spellStart"/>
                      <w:r w:rsidR="00532889">
                        <w:rPr>
                          <w:rFonts w:ascii="Noto Sans" w:hAnsi="Noto Sans"/>
                          <w:color w:val="000000" w:themeColor="dark1"/>
                          <w:sz w:val="20"/>
                          <w:szCs w:val="20"/>
                          <w:lang w:val="en-US"/>
                        </w:rPr>
                        <w:t>octubre</w:t>
                      </w:r>
                      <w:proofErr w:type="spellEnd"/>
                      <w:r w:rsidR="00532889">
                        <w:rPr>
                          <w:rFonts w:ascii="Noto Sans" w:hAnsi="Noto Sans"/>
                          <w:color w:val="000000" w:themeColor="dark1"/>
                          <w:sz w:val="20"/>
                          <w:szCs w:val="20"/>
                          <w:lang w:val="en-US"/>
                        </w:rPr>
                        <w:t xml:space="preserve"> de 2026 </w:t>
                      </w:r>
                    </w:p>
                    <w:p w14:paraId="5B48C635" w14:textId="7CFA0BFD" w:rsidR="00532889" w:rsidRDefault="00530FFA"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No. 568</w:t>
                      </w:r>
                      <w:bookmarkStart w:id="1" w:name="_GoBack"/>
                      <w:bookmarkEnd w:id="1"/>
                      <w:r w:rsidR="00532889">
                        <w:rPr>
                          <w:rFonts w:ascii="Noto Sans" w:hAnsi="Noto Sans"/>
                          <w:color w:val="000000" w:themeColor="dark1"/>
                          <w:sz w:val="20"/>
                          <w:szCs w:val="20"/>
                          <w:lang w:val="en-US"/>
                        </w:rPr>
                        <w:t>/2026</w:t>
                      </w:r>
                    </w:p>
                    <w:p w14:paraId="11E8C157" w14:textId="77777777" w:rsidR="00532889" w:rsidRDefault="00532889"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 </w:t>
                      </w:r>
                    </w:p>
                  </w:txbxContent>
                </v:textbox>
                <w10:wrap type="square"/>
              </v:rect>
            </w:pict>
          </mc:Fallback>
        </mc:AlternateContent>
      </w:r>
      <w:r w:rsidR="00A73D65" w:rsidRPr="00007681">
        <w:rPr>
          <w:rFonts w:ascii="Geomanist" w:hAnsi="Geomanist"/>
          <w:sz w:val="21"/>
          <w:szCs w:val="21"/>
          <w:lang w:val="es-MX"/>
        </w:rPr>
        <w:t xml:space="preserve"> </w:t>
      </w:r>
    </w:p>
    <w:p w14:paraId="4818A4E0" w14:textId="77777777" w:rsidR="00625F2E" w:rsidRDefault="00625F2E" w:rsidP="5B007A41">
      <w:pPr>
        <w:jc w:val="both"/>
      </w:pPr>
      <w:r w:rsidRPr="5B007A41">
        <w:rPr>
          <w:rFonts w:ascii="Noto Sans" w:hAnsi="Noto Sans" w:cs="Noto Sans"/>
          <w:b/>
          <w:bCs/>
          <w:lang w:val="es-MX"/>
        </w:rPr>
        <w:t xml:space="preserve">        </w:t>
      </w:r>
    </w:p>
    <w:p w14:paraId="747A1038" w14:textId="77777777" w:rsidR="00625F2E" w:rsidRDefault="00625F2E" w:rsidP="5B007A41">
      <w:pPr>
        <w:jc w:val="both"/>
        <w:rPr>
          <w:rFonts w:ascii="Noto Sans" w:hAnsi="Noto Sans" w:cs="Noto Sans"/>
          <w:b/>
          <w:bCs/>
          <w:lang w:val="es-MX"/>
        </w:rPr>
      </w:pPr>
    </w:p>
    <w:p w14:paraId="09CD354D" w14:textId="77777777" w:rsidR="00625F2E" w:rsidRDefault="00625F2E" w:rsidP="5B007A41">
      <w:pPr>
        <w:jc w:val="both"/>
        <w:rPr>
          <w:rFonts w:ascii="Noto Sans" w:hAnsi="Noto Sans" w:cs="Noto Sans"/>
          <w:b/>
          <w:bCs/>
          <w:lang w:val="es-MX"/>
        </w:rPr>
      </w:pPr>
      <w:r w:rsidRPr="2B679DE5">
        <w:rPr>
          <w:rFonts w:ascii="Noto Sans" w:hAnsi="Noto Sans" w:cs="Noto Sans"/>
          <w:b/>
          <w:bCs/>
          <w:lang w:val="es-MX"/>
        </w:rPr>
        <w:t xml:space="preserve">                                                                                                                                         </w:t>
      </w:r>
    </w:p>
    <w:p w14:paraId="20826F51" w14:textId="77777777" w:rsidR="360446CE" w:rsidRDefault="360446CE" w:rsidP="2B679DE5">
      <w:pPr>
        <w:spacing w:line="259" w:lineRule="auto"/>
        <w:jc w:val="center"/>
        <w:rPr>
          <w:rFonts w:ascii="Noto Sans" w:hAnsi="Noto Sans" w:cs="Noto Sans"/>
          <w:b/>
          <w:bCs/>
          <w:sz w:val="32"/>
          <w:szCs w:val="32"/>
          <w:lang w:val="es-MX"/>
        </w:rPr>
      </w:pPr>
      <w:r w:rsidRPr="2B679DE5">
        <w:rPr>
          <w:rFonts w:ascii="Noto Sans" w:hAnsi="Noto Sans" w:cs="Noto Sans"/>
          <w:b/>
          <w:bCs/>
          <w:sz w:val="32"/>
          <w:szCs w:val="32"/>
          <w:lang w:val="es-MX"/>
        </w:rPr>
        <w:t xml:space="preserve">IMSS reduce tiempos de respuesta en emergencia por </w:t>
      </w:r>
      <w:r w:rsidR="4047B4F6" w:rsidRPr="2B679DE5">
        <w:rPr>
          <w:rFonts w:ascii="Noto Sans" w:hAnsi="Noto Sans" w:cs="Noto Sans"/>
          <w:b/>
          <w:bCs/>
          <w:sz w:val="32"/>
          <w:szCs w:val="32"/>
          <w:lang w:val="es-MX"/>
        </w:rPr>
        <w:t>neutropenia febril en pacientes pediátricos oncológicos</w:t>
      </w:r>
    </w:p>
    <w:p w14:paraId="46F52D93" w14:textId="77777777" w:rsidR="002A0DB3" w:rsidRDefault="002A0DB3" w:rsidP="00787E5C">
      <w:pPr>
        <w:jc w:val="center"/>
        <w:rPr>
          <w:rFonts w:ascii="Noto Sans" w:hAnsi="Noto Sans" w:cs="Noto Sans"/>
          <w:b/>
          <w:bCs/>
          <w:lang w:val="es-MX"/>
        </w:rPr>
      </w:pPr>
    </w:p>
    <w:p w14:paraId="46E22E41" w14:textId="77777777" w:rsidR="7BDE386C" w:rsidRDefault="7BDE386C" w:rsidP="2B679DE5">
      <w:pPr>
        <w:pStyle w:val="Prrafodelista"/>
        <w:numPr>
          <w:ilvl w:val="0"/>
          <w:numId w:val="15"/>
        </w:numPr>
        <w:jc w:val="both"/>
        <w:rPr>
          <w:rFonts w:ascii="Noto Sans" w:hAnsi="Noto Sans" w:cs="Noto Sans"/>
          <w:b/>
          <w:bCs/>
          <w:sz w:val="20"/>
          <w:szCs w:val="20"/>
        </w:rPr>
      </w:pPr>
      <w:r w:rsidRPr="2B679DE5">
        <w:rPr>
          <w:rFonts w:ascii="Noto Sans" w:hAnsi="Noto Sans" w:cs="Noto Sans"/>
          <w:b/>
          <w:bCs/>
          <w:sz w:val="20"/>
          <w:szCs w:val="20"/>
        </w:rPr>
        <w:t>La estrategia “Hora dorada: minutos que salvan vidas” prioriza la atención de pacientes pediátricos con neutropenia febril durante los primeros 60 minutos para reducir complicaciones graves y mejorar la supervivencia.</w:t>
      </w:r>
    </w:p>
    <w:p w14:paraId="6E1542E3" w14:textId="77777777" w:rsidR="5B007A41" w:rsidRDefault="5B007A41" w:rsidP="5B007A41">
      <w:pPr>
        <w:jc w:val="both"/>
        <w:rPr>
          <w:rFonts w:ascii="Noto Sans" w:hAnsi="Noto Sans" w:cs="Noto Sans"/>
          <w:sz w:val="20"/>
          <w:szCs w:val="20"/>
        </w:rPr>
      </w:pPr>
    </w:p>
    <w:p w14:paraId="40B3DF0C" w14:textId="36E722A7" w:rsidR="5B007A41" w:rsidRDefault="776017FA" w:rsidP="5B007A41">
      <w:pPr>
        <w:spacing w:line="259" w:lineRule="auto"/>
        <w:jc w:val="both"/>
      </w:pPr>
      <w:r w:rsidRPr="2B679DE5">
        <w:rPr>
          <w:rFonts w:ascii="Noto Sans" w:hAnsi="Noto Sans" w:cs="Noto Sans"/>
          <w:sz w:val="20"/>
          <w:szCs w:val="20"/>
        </w:rPr>
        <w:t>La neutropenia febril, una de las complicaciones más graves y frecuentes en pacientes pediátricos con cáncer, activa en el Instituto Mexicano del Seguro Social (IMSS) la estrategia “Hora dorada: minutos que salvan vidas”, un protocolo que prioriza la atención durante los primeros 60 minutos para prevenir infecciones severas y mejorar el pronóstico de pacientes.</w:t>
      </w:r>
    </w:p>
    <w:p w14:paraId="4F80AE71" w14:textId="77777777" w:rsidR="5B007A41" w:rsidRDefault="5B007A41" w:rsidP="2B679DE5">
      <w:pPr>
        <w:spacing w:line="259" w:lineRule="auto"/>
        <w:jc w:val="both"/>
        <w:rPr>
          <w:rFonts w:ascii="Noto Sans" w:hAnsi="Noto Sans" w:cs="Noto Sans"/>
          <w:sz w:val="20"/>
          <w:szCs w:val="20"/>
        </w:rPr>
      </w:pPr>
    </w:p>
    <w:p w14:paraId="16B11226" w14:textId="77777777" w:rsidR="5B007A41" w:rsidRDefault="776017FA" w:rsidP="5B007A41">
      <w:pPr>
        <w:spacing w:line="259" w:lineRule="auto"/>
        <w:jc w:val="both"/>
      </w:pPr>
      <w:r w:rsidRPr="2B679DE5">
        <w:rPr>
          <w:rFonts w:ascii="Noto Sans" w:hAnsi="Noto Sans" w:cs="Noto Sans"/>
          <w:sz w:val="20"/>
          <w:szCs w:val="20"/>
        </w:rPr>
        <w:t xml:space="preserve">Durante la reunión virtual entre autoridades del Seguro Social con las madres y los padres de pacientes pediátricos oncológicos, la jefa de la División de Atención Oncológica Pediátrica, doctora María de los Ángeles del Campo Martínez, en representación del coordinador de Oncología, Donación y Trasplantes, doctor Enrique López Aguilar, destacó que la neutropenia febril constituye una de las complicaciones más frecuentes y graves en pacientes </w:t>
      </w:r>
      <w:proofErr w:type="spellStart"/>
      <w:r w:rsidRPr="2B679DE5">
        <w:rPr>
          <w:rFonts w:ascii="Noto Sans" w:hAnsi="Noto Sans" w:cs="Noto Sans"/>
          <w:sz w:val="20"/>
          <w:szCs w:val="20"/>
        </w:rPr>
        <w:t>hemato</w:t>
      </w:r>
      <w:proofErr w:type="spellEnd"/>
      <w:r w:rsidRPr="2B679DE5">
        <w:rPr>
          <w:rFonts w:ascii="Noto Sans" w:hAnsi="Noto Sans" w:cs="Noto Sans"/>
          <w:sz w:val="20"/>
          <w:szCs w:val="20"/>
        </w:rPr>
        <w:t xml:space="preserve">-oncológicos pediátricos que reciben quimioterapia. </w:t>
      </w:r>
    </w:p>
    <w:p w14:paraId="22120144" w14:textId="77777777" w:rsidR="5B007A41" w:rsidRDefault="5B007A41" w:rsidP="2B679DE5">
      <w:pPr>
        <w:spacing w:line="259" w:lineRule="auto"/>
        <w:jc w:val="both"/>
        <w:rPr>
          <w:rFonts w:ascii="Noto Sans" w:hAnsi="Noto Sans" w:cs="Noto Sans"/>
          <w:sz w:val="20"/>
          <w:szCs w:val="20"/>
        </w:rPr>
      </w:pPr>
    </w:p>
    <w:p w14:paraId="27C74FCB" w14:textId="77777777" w:rsidR="5B007A41" w:rsidRDefault="776017FA" w:rsidP="2B679DE5">
      <w:pPr>
        <w:spacing w:line="259" w:lineRule="auto"/>
        <w:jc w:val="both"/>
      </w:pPr>
      <w:r w:rsidRPr="2B679DE5">
        <w:rPr>
          <w:rFonts w:ascii="Noto Sans" w:hAnsi="Noto Sans" w:cs="Noto Sans"/>
          <w:sz w:val="20"/>
          <w:szCs w:val="20"/>
        </w:rPr>
        <w:t xml:space="preserve">En la sesión 205 del grupo de trabajo para la atención de menores bajo tratamiento oncológico, la especialista del Seguro Social explicó que, ante una temperatura igual o superior a 38 grados centígrados, el protocolo establece una ruta de atención inmediata que incluye ingreso a urgencias, valoración médica, estudios de laboratorio, toma de hemocultivos e inicio de </w:t>
      </w:r>
      <w:proofErr w:type="spellStart"/>
      <w:r w:rsidRPr="2B679DE5">
        <w:rPr>
          <w:rFonts w:ascii="Noto Sans" w:hAnsi="Noto Sans" w:cs="Noto Sans"/>
          <w:sz w:val="20"/>
          <w:szCs w:val="20"/>
        </w:rPr>
        <w:t>antibioticoterapia</w:t>
      </w:r>
      <w:proofErr w:type="spellEnd"/>
      <w:r w:rsidRPr="2B679DE5">
        <w:rPr>
          <w:rFonts w:ascii="Noto Sans" w:hAnsi="Noto Sans" w:cs="Noto Sans"/>
          <w:sz w:val="20"/>
          <w:szCs w:val="20"/>
        </w:rPr>
        <w:t xml:space="preserve"> intravenosa. </w:t>
      </w:r>
    </w:p>
    <w:p w14:paraId="244CDA2B" w14:textId="77777777" w:rsidR="5B007A41" w:rsidRDefault="5B007A41" w:rsidP="2B679DE5">
      <w:pPr>
        <w:spacing w:line="259" w:lineRule="auto"/>
        <w:jc w:val="both"/>
        <w:rPr>
          <w:rFonts w:ascii="Noto Sans" w:hAnsi="Noto Sans" w:cs="Noto Sans"/>
          <w:sz w:val="20"/>
          <w:szCs w:val="20"/>
        </w:rPr>
      </w:pPr>
    </w:p>
    <w:p w14:paraId="335A58AC" w14:textId="3720E24D" w:rsidR="5B007A41" w:rsidRDefault="776017FA" w:rsidP="2B679DE5">
      <w:pPr>
        <w:spacing w:line="259" w:lineRule="auto"/>
        <w:jc w:val="both"/>
      </w:pPr>
      <w:r w:rsidRPr="2B679DE5">
        <w:rPr>
          <w:rFonts w:ascii="Noto Sans" w:hAnsi="Noto Sans" w:cs="Noto Sans"/>
          <w:sz w:val="20"/>
          <w:szCs w:val="20"/>
        </w:rPr>
        <w:t>Por su parte, el doctor Jorge Federico Marcos García, hemat</w:t>
      </w:r>
      <w:r w:rsidR="00532889">
        <w:rPr>
          <w:rFonts w:ascii="Noto Sans" w:hAnsi="Noto Sans" w:cs="Noto Sans"/>
          <w:sz w:val="20"/>
          <w:szCs w:val="20"/>
        </w:rPr>
        <w:t>ó</w:t>
      </w:r>
      <w:r w:rsidRPr="2B679DE5">
        <w:rPr>
          <w:rFonts w:ascii="Noto Sans" w:hAnsi="Noto Sans" w:cs="Noto Sans"/>
          <w:sz w:val="20"/>
          <w:szCs w:val="20"/>
        </w:rPr>
        <w:t xml:space="preserve">logo pediatra adscrito a la </w:t>
      </w:r>
      <w:r w:rsidR="3E2AC407" w:rsidRPr="2B679DE5">
        <w:rPr>
          <w:rFonts w:ascii="Noto Sans" w:hAnsi="Noto Sans" w:cs="Noto Sans"/>
          <w:sz w:val="20"/>
          <w:szCs w:val="20"/>
        </w:rPr>
        <w:t xml:space="preserve">Unidad Médica de Alta Especialidad (UMAE) No. 25, Centro Médico Nacional Noreste del IMSS en Nuevo León, indicó que la administración temprana de antibióticos representa el factor más importante para la supervivencia de </w:t>
      </w:r>
      <w:r w:rsidR="00532889">
        <w:rPr>
          <w:rFonts w:ascii="Noto Sans" w:hAnsi="Noto Sans" w:cs="Noto Sans"/>
          <w:sz w:val="20"/>
          <w:szCs w:val="20"/>
        </w:rPr>
        <w:t xml:space="preserve">las y </w:t>
      </w:r>
      <w:r w:rsidR="3E2AC407" w:rsidRPr="2B679DE5">
        <w:rPr>
          <w:rFonts w:ascii="Noto Sans" w:hAnsi="Noto Sans" w:cs="Noto Sans"/>
          <w:sz w:val="20"/>
          <w:szCs w:val="20"/>
        </w:rPr>
        <w:t xml:space="preserve">los </w:t>
      </w:r>
      <w:r w:rsidR="00532889">
        <w:rPr>
          <w:rFonts w:ascii="Noto Sans" w:hAnsi="Noto Sans" w:cs="Noto Sans"/>
          <w:sz w:val="20"/>
          <w:szCs w:val="20"/>
        </w:rPr>
        <w:t>menores</w:t>
      </w:r>
      <w:r w:rsidR="3E2AC407" w:rsidRPr="2B679DE5">
        <w:rPr>
          <w:rFonts w:ascii="Noto Sans" w:hAnsi="Noto Sans" w:cs="Noto Sans"/>
          <w:sz w:val="20"/>
          <w:szCs w:val="20"/>
        </w:rPr>
        <w:t xml:space="preserve">. </w:t>
      </w:r>
    </w:p>
    <w:p w14:paraId="2C08890A" w14:textId="77777777" w:rsidR="5B007A41" w:rsidRDefault="5B007A41" w:rsidP="2B679DE5">
      <w:pPr>
        <w:spacing w:line="259" w:lineRule="auto"/>
        <w:jc w:val="both"/>
        <w:rPr>
          <w:rFonts w:ascii="Noto Sans" w:hAnsi="Noto Sans" w:cs="Noto Sans"/>
          <w:sz w:val="20"/>
          <w:szCs w:val="20"/>
        </w:rPr>
      </w:pPr>
    </w:p>
    <w:p w14:paraId="5E7E1435" w14:textId="77777777" w:rsidR="5B007A41" w:rsidRDefault="3E2AC407" w:rsidP="2B679DE5">
      <w:pPr>
        <w:spacing w:line="259" w:lineRule="auto"/>
        <w:jc w:val="both"/>
      </w:pPr>
      <w:r w:rsidRPr="2B679DE5">
        <w:rPr>
          <w:rFonts w:ascii="Noto Sans" w:hAnsi="Noto Sans" w:cs="Noto Sans"/>
          <w:sz w:val="20"/>
          <w:szCs w:val="20"/>
        </w:rPr>
        <w:t xml:space="preserve">Asimismo, expuso que la mortalidad aumenta 7.6 por ciento por cada hora de retraso en el inicio del tratamiento antimicrobiano. </w:t>
      </w:r>
    </w:p>
    <w:p w14:paraId="25DA0B59" w14:textId="77777777" w:rsidR="5B007A41" w:rsidRDefault="5B007A41" w:rsidP="2B679DE5">
      <w:pPr>
        <w:spacing w:line="259" w:lineRule="auto"/>
        <w:jc w:val="both"/>
        <w:rPr>
          <w:rFonts w:ascii="Noto Sans" w:hAnsi="Noto Sans" w:cs="Noto Sans"/>
          <w:sz w:val="20"/>
          <w:szCs w:val="20"/>
        </w:rPr>
      </w:pPr>
    </w:p>
    <w:p w14:paraId="38F223DC" w14:textId="03966670" w:rsidR="5B007A41" w:rsidRDefault="3E2AC407" w:rsidP="5B007A41">
      <w:pPr>
        <w:spacing w:line="259" w:lineRule="auto"/>
        <w:jc w:val="both"/>
      </w:pPr>
      <w:r w:rsidRPr="2B679DE5">
        <w:rPr>
          <w:rFonts w:ascii="Noto Sans" w:hAnsi="Noto Sans" w:cs="Noto Sans"/>
          <w:sz w:val="20"/>
          <w:szCs w:val="20"/>
        </w:rPr>
        <w:t xml:space="preserve">El especialista del Seguro Social refirió que la estrategia contempla un esquema coordinado entre personal médico y de enfermería para clasificar estos casos como prioridad máxima, agilizar la canalización y garantizar el acceso al tratamiento en el menor tiempo posible. </w:t>
      </w:r>
    </w:p>
    <w:p w14:paraId="3C56702F" w14:textId="77777777" w:rsidR="5B007A41" w:rsidRDefault="5B007A41" w:rsidP="2B679DE5">
      <w:pPr>
        <w:spacing w:line="259" w:lineRule="auto"/>
        <w:jc w:val="both"/>
        <w:rPr>
          <w:rFonts w:ascii="Noto Sans" w:hAnsi="Noto Sans" w:cs="Noto Sans"/>
          <w:sz w:val="20"/>
          <w:szCs w:val="20"/>
        </w:rPr>
      </w:pPr>
    </w:p>
    <w:p w14:paraId="5B1A9CEE" w14:textId="77777777" w:rsidR="5B007A41" w:rsidRDefault="3E2AC407" w:rsidP="2B679DE5">
      <w:pPr>
        <w:spacing w:line="259" w:lineRule="auto"/>
        <w:jc w:val="both"/>
      </w:pPr>
      <w:r w:rsidRPr="2B679DE5">
        <w:rPr>
          <w:rFonts w:ascii="Noto Sans" w:hAnsi="Noto Sans" w:cs="Noto Sans"/>
          <w:sz w:val="20"/>
          <w:szCs w:val="20"/>
        </w:rPr>
        <w:t xml:space="preserve">Marcos García precisó que entre las acciones destacan el </w:t>
      </w:r>
      <w:proofErr w:type="spellStart"/>
      <w:r w:rsidRPr="2B679DE5">
        <w:rPr>
          <w:rFonts w:ascii="Noto Sans" w:hAnsi="Noto Sans" w:cs="Noto Sans"/>
          <w:sz w:val="20"/>
          <w:szCs w:val="20"/>
        </w:rPr>
        <w:t>triage</w:t>
      </w:r>
      <w:proofErr w:type="spellEnd"/>
      <w:r w:rsidRPr="2B679DE5">
        <w:rPr>
          <w:rFonts w:ascii="Noto Sans" w:hAnsi="Noto Sans" w:cs="Noto Sans"/>
          <w:sz w:val="20"/>
          <w:szCs w:val="20"/>
        </w:rPr>
        <w:t xml:space="preserve"> en código rojo, la toma inmediata de muestras y el traslado oportuno a las áreas de hematología y oncología pediátrica. También </w:t>
      </w:r>
      <w:r w:rsidR="3CDF17D2" w:rsidRPr="2B679DE5">
        <w:rPr>
          <w:rFonts w:ascii="Noto Sans" w:hAnsi="Noto Sans" w:cs="Noto Sans"/>
          <w:sz w:val="20"/>
          <w:szCs w:val="20"/>
        </w:rPr>
        <w:t xml:space="preserve">dijo </w:t>
      </w:r>
      <w:r w:rsidRPr="2B679DE5">
        <w:rPr>
          <w:rFonts w:ascii="Noto Sans" w:hAnsi="Noto Sans" w:cs="Noto Sans"/>
          <w:sz w:val="20"/>
          <w:szCs w:val="20"/>
        </w:rPr>
        <w:t xml:space="preserve">que la fiebre en pacientes pediátricos </w:t>
      </w:r>
      <w:r w:rsidR="787FAB7D" w:rsidRPr="2B679DE5">
        <w:rPr>
          <w:rFonts w:ascii="Noto Sans" w:hAnsi="Noto Sans" w:cs="Noto Sans"/>
          <w:sz w:val="20"/>
          <w:szCs w:val="20"/>
        </w:rPr>
        <w:t xml:space="preserve">oncológicos es </w:t>
      </w:r>
      <w:r w:rsidRPr="2B679DE5">
        <w:rPr>
          <w:rFonts w:ascii="Noto Sans" w:hAnsi="Noto Sans" w:cs="Noto Sans"/>
          <w:sz w:val="20"/>
          <w:szCs w:val="20"/>
        </w:rPr>
        <w:t xml:space="preserve">una urgencia médica que requiere atención inmediata. </w:t>
      </w:r>
    </w:p>
    <w:p w14:paraId="270338D8" w14:textId="77777777" w:rsidR="5B007A41" w:rsidRDefault="5B007A41" w:rsidP="2B679DE5">
      <w:pPr>
        <w:spacing w:line="259" w:lineRule="auto"/>
        <w:jc w:val="both"/>
        <w:rPr>
          <w:rFonts w:ascii="Noto Sans" w:hAnsi="Noto Sans" w:cs="Noto Sans"/>
          <w:sz w:val="20"/>
          <w:szCs w:val="20"/>
        </w:rPr>
      </w:pPr>
    </w:p>
    <w:p w14:paraId="41A87CE7" w14:textId="0390AA73" w:rsidR="5B007A41" w:rsidRDefault="30F0981C" w:rsidP="2B679DE5">
      <w:pPr>
        <w:spacing w:line="259" w:lineRule="auto"/>
        <w:jc w:val="both"/>
      </w:pPr>
      <w:r w:rsidRPr="2B679DE5">
        <w:rPr>
          <w:rFonts w:ascii="Noto Sans" w:hAnsi="Noto Sans" w:cs="Noto Sans"/>
          <w:sz w:val="20"/>
          <w:szCs w:val="20"/>
        </w:rPr>
        <w:t>Durante la reunión se acordó dar seguimiento a la atención médica oportuna y al proceso de traslado relacionado con un caso médico</w:t>
      </w:r>
      <w:r w:rsidR="4F5A6128" w:rsidRPr="2B679DE5">
        <w:rPr>
          <w:rFonts w:ascii="Noto Sans" w:hAnsi="Noto Sans" w:cs="Noto Sans"/>
          <w:sz w:val="20"/>
          <w:szCs w:val="20"/>
        </w:rPr>
        <w:t xml:space="preserve"> </w:t>
      </w:r>
      <w:r w:rsidRPr="2B679DE5">
        <w:rPr>
          <w:rFonts w:ascii="Noto Sans" w:hAnsi="Noto Sans" w:cs="Noto Sans"/>
          <w:sz w:val="20"/>
          <w:szCs w:val="20"/>
        </w:rPr>
        <w:t xml:space="preserve">en </w:t>
      </w:r>
      <w:r w:rsidR="7D493C00" w:rsidRPr="2B679DE5">
        <w:rPr>
          <w:rFonts w:ascii="Noto Sans" w:hAnsi="Noto Sans" w:cs="Noto Sans"/>
          <w:sz w:val="20"/>
          <w:szCs w:val="20"/>
        </w:rPr>
        <w:t>la UMAE Hospital de Especialidades No. 1 del Centro Médico Nacional "Ignacio García Téllez" del IMSS en Mérida, Yucat</w:t>
      </w:r>
      <w:r w:rsidR="00532889">
        <w:rPr>
          <w:rFonts w:ascii="Noto Sans" w:hAnsi="Noto Sans" w:cs="Noto Sans"/>
          <w:sz w:val="20"/>
          <w:szCs w:val="20"/>
        </w:rPr>
        <w:t>á</w:t>
      </w:r>
      <w:r w:rsidR="7D493C00" w:rsidRPr="2B679DE5">
        <w:rPr>
          <w:rFonts w:ascii="Noto Sans" w:hAnsi="Noto Sans" w:cs="Noto Sans"/>
          <w:sz w:val="20"/>
          <w:szCs w:val="20"/>
        </w:rPr>
        <w:t>n</w:t>
      </w:r>
      <w:r w:rsidRPr="2B679DE5">
        <w:rPr>
          <w:rFonts w:ascii="Noto Sans" w:hAnsi="Noto Sans" w:cs="Noto Sans"/>
          <w:sz w:val="20"/>
          <w:szCs w:val="20"/>
        </w:rPr>
        <w:t>, a fin de garantizar la continuidad de la atención especializada y el acompañamiento institucional</w:t>
      </w:r>
      <w:r w:rsidR="00532889">
        <w:rPr>
          <w:rFonts w:ascii="Noto Sans" w:hAnsi="Noto Sans" w:cs="Noto Sans"/>
          <w:sz w:val="20"/>
          <w:szCs w:val="20"/>
        </w:rPr>
        <w:t>.</w:t>
      </w:r>
    </w:p>
    <w:p w14:paraId="77CC79DD" w14:textId="77777777" w:rsidR="5B007A41" w:rsidRDefault="0878A67B" w:rsidP="5B007A41">
      <w:pPr>
        <w:spacing w:line="259" w:lineRule="auto"/>
        <w:jc w:val="both"/>
      </w:pPr>
      <w:r w:rsidRPr="2B679DE5">
        <w:rPr>
          <w:rFonts w:ascii="Noto Sans" w:hAnsi="Noto Sans" w:cs="Noto Sans"/>
          <w:sz w:val="20"/>
          <w:szCs w:val="20"/>
        </w:rPr>
        <w:t xml:space="preserve"> </w:t>
      </w:r>
    </w:p>
    <w:p w14:paraId="7A6C0C37" w14:textId="3FAC8275" w:rsidR="5B007A41" w:rsidRDefault="0878A67B" w:rsidP="5B007A41">
      <w:pPr>
        <w:spacing w:line="259" w:lineRule="auto"/>
        <w:jc w:val="both"/>
      </w:pPr>
      <w:r w:rsidRPr="2B679DE5">
        <w:rPr>
          <w:rFonts w:ascii="Noto Sans" w:hAnsi="Noto Sans" w:cs="Noto Sans"/>
          <w:sz w:val="20"/>
          <w:szCs w:val="20"/>
        </w:rPr>
        <w:t>Asistieron por parte del IMSS, titulares de coordinaciones y titulares de unidad, directoras y directores de hospitales, titulares de las Jefaturas de Servicios de Prestaciones Médicas y autoridades de las Oficinas de Representación de Aguascalientes, Baja California, Chihuahua,</w:t>
      </w:r>
      <w:r w:rsidR="00532889">
        <w:rPr>
          <w:rFonts w:ascii="Noto Sans" w:hAnsi="Noto Sans" w:cs="Noto Sans"/>
          <w:sz w:val="20"/>
          <w:szCs w:val="20"/>
        </w:rPr>
        <w:t xml:space="preserve"> Ciudad de México,</w:t>
      </w:r>
      <w:r w:rsidRPr="2B679DE5">
        <w:rPr>
          <w:rFonts w:ascii="Noto Sans" w:hAnsi="Noto Sans" w:cs="Noto Sans"/>
          <w:sz w:val="20"/>
          <w:szCs w:val="20"/>
        </w:rPr>
        <w:t xml:space="preserve"> Nuevo León, Oaxaca, Puebla, Querétaro, Quintana Roo, San Luis Potosí, Sinaloa, Tamaulipas, Veracruz, Yucatán y Zacatecas.</w:t>
      </w:r>
    </w:p>
    <w:p w14:paraId="1E1DA0C7" w14:textId="77777777" w:rsidR="5B007A41" w:rsidRDefault="0878A67B" w:rsidP="5B007A41">
      <w:pPr>
        <w:spacing w:line="259" w:lineRule="auto"/>
        <w:jc w:val="both"/>
      </w:pPr>
      <w:r w:rsidRPr="2B679DE5">
        <w:rPr>
          <w:rFonts w:ascii="Noto Sans" w:hAnsi="Noto Sans" w:cs="Noto Sans"/>
          <w:sz w:val="20"/>
          <w:szCs w:val="20"/>
        </w:rPr>
        <w:t xml:space="preserve"> </w:t>
      </w:r>
    </w:p>
    <w:p w14:paraId="71ADC370" w14:textId="54DEF7F2" w:rsidR="5B007A41" w:rsidRDefault="0878A67B" w:rsidP="2B679DE5">
      <w:pPr>
        <w:spacing w:line="259" w:lineRule="auto"/>
        <w:jc w:val="both"/>
      </w:pPr>
      <w:r w:rsidRPr="2B679DE5">
        <w:rPr>
          <w:rFonts w:ascii="Noto Sans" w:hAnsi="Noto Sans" w:cs="Noto Sans"/>
          <w:sz w:val="20"/>
          <w:szCs w:val="20"/>
        </w:rPr>
        <w:t xml:space="preserve">Y en representación de las madres y los padres de pacientes pediátricos oncológicos, estuvieron las señoras Dulce, Mary, </w:t>
      </w:r>
      <w:r w:rsidR="193254FD" w:rsidRPr="2B679DE5">
        <w:rPr>
          <w:rFonts w:ascii="Noto Sans" w:hAnsi="Noto Sans" w:cs="Noto Sans"/>
          <w:sz w:val="20"/>
          <w:szCs w:val="20"/>
        </w:rPr>
        <w:t xml:space="preserve">Angélica, </w:t>
      </w:r>
      <w:r w:rsidR="00532889">
        <w:rPr>
          <w:rFonts w:ascii="Noto Sans" w:hAnsi="Noto Sans" w:cs="Noto Sans"/>
          <w:sz w:val="20"/>
          <w:szCs w:val="20"/>
        </w:rPr>
        <w:t>Araceli</w:t>
      </w:r>
      <w:r w:rsidR="193254FD" w:rsidRPr="2B679DE5">
        <w:rPr>
          <w:rFonts w:ascii="Noto Sans" w:hAnsi="Noto Sans" w:cs="Noto Sans"/>
          <w:sz w:val="20"/>
          <w:szCs w:val="20"/>
        </w:rPr>
        <w:t xml:space="preserve">, Beatriz, Cecilia, </w:t>
      </w:r>
      <w:r w:rsidR="1E62C41D" w:rsidRPr="2B679DE5">
        <w:rPr>
          <w:rFonts w:ascii="Noto Sans" w:hAnsi="Noto Sans" w:cs="Noto Sans"/>
          <w:sz w:val="20"/>
          <w:szCs w:val="20"/>
        </w:rPr>
        <w:t xml:space="preserve">Elsa, </w:t>
      </w:r>
      <w:r w:rsidR="00532889">
        <w:rPr>
          <w:rFonts w:ascii="Noto Sans" w:hAnsi="Noto Sans" w:cs="Noto Sans"/>
          <w:sz w:val="20"/>
          <w:szCs w:val="20"/>
        </w:rPr>
        <w:t>Esperanza</w:t>
      </w:r>
      <w:r w:rsidR="00A03EE7" w:rsidRPr="2B679DE5">
        <w:rPr>
          <w:rFonts w:ascii="Noto Sans" w:hAnsi="Noto Sans" w:cs="Noto Sans"/>
          <w:sz w:val="20"/>
          <w:szCs w:val="20"/>
        </w:rPr>
        <w:t xml:space="preserve">, Leticia, </w:t>
      </w:r>
      <w:proofErr w:type="spellStart"/>
      <w:r w:rsidR="00A03EE7" w:rsidRPr="2B679DE5">
        <w:rPr>
          <w:rFonts w:ascii="Noto Sans" w:hAnsi="Noto Sans" w:cs="Noto Sans"/>
          <w:sz w:val="20"/>
          <w:szCs w:val="20"/>
        </w:rPr>
        <w:t>Leydi</w:t>
      </w:r>
      <w:proofErr w:type="spellEnd"/>
      <w:r w:rsidR="00A03EE7" w:rsidRPr="2B679DE5">
        <w:rPr>
          <w:rFonts w:ascii="Noto Sans" w:hAnsi="Noto Sans" w:cs="Noto Sans"/>
          <w:sz w:val="20"/>
          <w:szCs w:val="20"/>
        </w:rPr>
        <w:t>, Liliana, Maribel, Martha</w:t>
      </w:r>
      <w:r w:rsidR="00532889">
        <w:rPr>
          <w:rFonts w:ascii="Noto Sans" w:hAnsi="Noto Sans" w:cs="Noto Sans"/>
          <w:sz w:val="20"/>
          <w:szCs w:val="20"/>
        </w:rPr>
        <w:t xml:space="preserve"> y</w:t>
      </w:r>
      <w:r w:rsidR="00A03EE7" w:rsidRPr="2B679DE5">
        <w:rPr>
          <w:rFonts w:ascii="Noto Sans" w:hAnsi="Noto Sans" w:cs="Noto Sans"/>
          <w:sz w:val="20"/>
          <w:szCs w:val="20"/>
        </w:rPr>
        <w:t xml:space="preserve"> Raquel</w:t>
      </w:r>
      <w:r w:rsidR="22C4F208" w:rsidRPr="2B679DE5">
        <w:rPr>
          <w:rFonts w:ascii="Noto Sans" w:hAnsi="Noto Sans" w:cs="Noto Sans"/>
          <w:sz w:val="20"/>
          <w:szCs w:val="20"/>
        </w:rPr>
        <w:t xml:space="preserve">. </w:t>
      </w:r>
      <w:r w:rsidR="1EC50A9D" w:rsidRPr="2B679DE5">
        <w:rPr>
          <w:rFonts w:ascii="Noto Sans" w:hAnsi="Noto Sans" w:cs="Noto Sans"/>
          <w:sz w:val="20"/>
          <w:szCs w:val="20"/>
        </w:rPr>
        <w:t xml:space="preserve">Además de los señores </w:t>
      </w:r>
      <w:r w:rsidR="00532889">
        <w:rPr>
          <w:rFonts w:ascii="Noto Sans" w:hAnsi="Noto Sans" w:cs="Noto Sans"/>
          <w:sz w:val="20"/>
          <w:szCs w:val="20"/>
        </w:rPr>
        <w:t>Luis y Vicente</w:t>
      </w:r>
      <w:r w:rsidR="19160C55" w:rsidRPr="2B679DE5">
        <w:rPr>
          <w:rFonts w:ascii="Noto Sans" w:hAnsi="Noto Sans" w:cs="Noto Sans"/>
          <w:sz w:val="20"/>
          <w:szCs w:val="20"/>
        </w:rPr>
        <w:t xml:space="preserve">. </w:t>
      </w:r>
    </w:p>
    <w:p w14:paraId="322F9507" w14:textId="77777777" w:rsidR="0E6D0E33" w:rsidRDefault="0E6D0E33" w:rsidP="0E6D0E33">
      <w:pPr>
        <w:jc w:val="both"/>
        <w:rPr>
          <w:rFonts w:ascii="Noto Sans" w:hAnsi="Noto Sans" w:cs="Noto Sans"/>
          <w:sz w:val="20"/>
          <w:szCs w:val="20"/>
        </w:rPr>
      </w:pPr>
    </w:p>
    <w:p w14:paraId="6674F266" w14:textId="77777777" w:rsidR="00117614" w:rsidRPr="00DC1EEB" w:rsidRDefault="00DC1EEB" w:rsidP="006C50AE">
      <w:pPr>
        <w:jc w:val="center"/>
        <w:rPr>
          <w:rFonts w:ascii="Noto Sans" w:hAnsi="Noto Sans" w:cs="Noto Sans"/>
          <w:sz w:val="22"/>
          <w:szCs w:val="22"/>
        </w:rPr>
      </w:pPr>
      <w:r w:rsidRPr="006A56A9">
        <w:rPr>
          <w:rFonts w:ascii="Noto Sans" w:hAnsi="Noto Sans" w:cs="Noto Sans"/>
          <w:b/>
          <w:bCs/>
          <w:sz w:val="20"/>
          <w:szCs w:val="20"/>
        </w:rPr>
        <w:t>---o0o---</w:t>
      </w:r>
    </w:p>
    <w:sectPr w:rsidR="00117614" w:rsidRPr="00DC1EEB"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ED594" w14:textId="77777777" w:rsidR="00D54699" w:rsidRDefault="00D54699" w:rsidP="00A73D65">
      <w:r>
        <w:separator/>
      </w:r>
    </w:p>
  </w:endnote>
  <w:endnote w:type="continuationSeparator" w:id="0">
    <w:p w14:paraId="58E2D0E0" w14:textId="77777777" w:rsidR="00D54699" w:rsidRDefault="00D5469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DDCB6" w14:textId="77777777" w:rsidR="00D54699" w:rsidRDefault="00D54699" w:rsidP="00A73D65">
      <w:r>
        <w:separator/>
      </w:r>
    </w:p>
  </w:footnote>
  <w:footnote w:type="continuationSeparator" w:id="0">
    <w:p w14:paraId="084636C1" w14:textId="77777777" w:rsidR="00D54699" w:rsidRDefault="00D5469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E0126" w14:textId="77777777" w:rsidR="00A73D65" w:rsidRDefault="00F33C47">
    <w:pPr>
      <w:pStyle w:val="Encabezado"/>
    </w:pPr>
    <w:r>
      <w:rPr>
        <w:noProof/>
        <w:lang w:val="es-MX" w:eastAsia="es-MX"/>
      </w:rPr>
      <w:drawing>
        <wp:anchor distT="0" distB="0" distL="114300" distR="114300" simplePos="0" relativeHeight="251658240" behindDoc="1" locked="0" layoutInCell="1" allowOverlap="1" wp14:anchorId="13366B2A" wp14:editId="29B9F1A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6AAB"/>
    <w:multiLevelType w:val="hybridMultilevel"/>
    <w:tmpl w:val="D270C8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2" w15:restartNumberingAfterBreak="0">
    <w:nsid w:val="092E6175"/>
    <w:multiLevelType w:val="hybridMultilevel"/>
    <w:tmpl w:val="2D625C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391A5E"/>
    <w:multiLevelType w:val="hybridMultilevel"/>
    <w:tmpl w:val="88A0F6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5"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BA17AF2"/>
    <w:multiLevelType w:val="hybridMultilevel"/>
    <w:tmpl w:val="257A27A2"/>
    <w:lvl w:ilvl="0" w:tplc="1E6EE61A">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1A6740"/>
    <w:multiLevelType w:val="hybridMultilevel"/>
    <w:tmpl w:val="AA96C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0344A2C"/>
    <w:multiLevelType w:val="hybridMultilevel"/>
    <w:tmpl w:val="73608E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A096D45"/>
    <w:multiLevelType w:val="hybridMultilevel"/>
    <w:tmpl w:val="8CEC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19A0F3D"/>
    <w:multiLevelType w:val="hybridMultilevel"/>
    <w:tmpl w:val="8E9215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E77222"/>
    <w:multiLevelType w:val="hybridMultilevel"/>
    <w:tmpl w:val="AF4E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0141030"/>
    <w:multiLevelType w:val="hybridMultilevel"/>
    <w:tmpl w:val="79064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9"/>
  </w:num>
  <w:num w:numId="4">
    <w:abstractNumId w:val="11"/>
  </w:num>
  <w:num w:numId="5">
    <w:abstractNumId w:val="5"/>
  </w:num>
  <w:num w:numId="6">
    <w:abstractNumId w:val="10"/>
  </w:num>
  <w:num w:numId="7">
    <w:abstractNumId w:val="3"/>
  </w:num>
  <w:num w:numId="8">
    <w:abstractNumId w:val="6"/>
  </w:num>
  <w:num w:numId="9">
    <w:abstractNumId w:val="2"/>
  </w:num>
  <w:num w:numId="10">
    <w:abstractNumId w:val="14"/>
  </w:num>
  <w:num w:numId="11">
    <w:abstractNumId w:val="8"/>
  </w:num>
  <w:num w:numId="12">
    <w:abstractNumId w:val="12"/>
  </w:num>
  <w:num w:numId="13">
    <w:abstractNumId w:val="0"/>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6E"/>
    <w:rsid w:val="00007681"/>
    <w:rsid w:val="00025883"/>
    <w:rsid w:val="00054FDD"/>
    <w:rsid w:val="0006063B"/>
    <w:rsid w:val="000A09C1"/>
    <w:rsid w:val="000A408C"/>
    <w:rsid w:val="000D799D"/>
    <w:rsid w:val="000E5D1C"/>
    <w:rsid w:val="0010552A"/>
    <w:rsid w:val="00117614"/>
    <w:rsid w:val="00132439"/>
    <w:rsid w:val="0014D7AE"/>
    <w:rsid w:val="00156A3E"/>
    <w:rsid w:val="001571BE"/>
    <w:rsid w:val="00161740"/>
    <w:rsid w:val="0016179D"/>
    <w:rsid w:val="0016690D"/>
    <w:rsid w:val="00180A38"/>
    <w:rsid w:val="00181F68"/>
    <w:rsid w:val="00184325"/>
    <w:rsid w:val="00193939"/>
    <w:rsid w:val="001F5A42"/>
    <w:rsid w:val="001F6AC7"/>
    <w:rsid w:val="00202D55"/>
    <w:rsid w:val="00256B1D"/>
    <w:rsid w:val="0029542D"/>
    <w:rsid w:val="002A0DB3"/>
    <w:rsid w:val="002A3FAC"/>
    <w:rsid w:val="002C4919"/>
    <w:rsid w:val="002D5F5C"/>
    <w:rsid w:val="002E2142"/>
    <w:rsid w:val="0030476A"/>
    <w:rsid w:val="003215CC"/>
    <w:rsid w:val="00330DC8"/>
    <w:rsid w:val="00334CB4"/>
    <w:rsid w:val="0034181C"/>
    <w:rsid w:val="00362137"/>
    <w:rsid w:val="00363222"/>
    <w:rsid w:val="00370465"/>
    <w:rsid w:val="003A034A"/>
    <w:rsid w:val="003B5873"/>
    <w:rsid w:val="003D416E"/>
    <w:rsid w:val="003E1335"/>
    <w:rsid w:val="00410675"/>
    <w:rsid w:val="004341BC"/>
    <w:rsid w:val="00445067"/>
    <w:rsid w:val="00477F45"/>
    <w:rsid w:val="004A0618"/>
    <w:rsid w:val="004A1314"/>
    <w:rsid w:val="004A2714"/>
    <w:rsid w:val="004A4C4E"/>
    <w:rsid w:val="004C19FF"/>
    <w:rsid w:val="004D131F"/>
    <w:rsid w:val="004D146C"/>
    <w:rsid w:val="004E0D31"/>
    <w:rsid w:val="00501363"/>
    <w:rsid w:val="005027AF"/>
    <w:rsid w:val="00516828"/>
    <w:rsid w:val="00530FFA"/>
    <w:rsid w:val="00532889"/>
    <w:rsid w:val="00540200"/>
    <w:rsid w:val="00552C76"/>
    <w:rsid w:val="00576156"/>
    <w:rsid w:val="005926DA"/>
    <w:rsid w:val="005933D8"/>
    <w:rsid w:val="005C1A7C"/>
    <w:rsid w:val="005C3090"/>
    <w:rsid w:val="005C7CAD"/>
    <w:rsid w:val="0060554E"/>
    <w:rsid w:val="00611102"/>
    <w:rsid w:val="00620A18"/>
    <w:rsid w:val="0062232F"/>
    <w:rsid w:val="00623CE1"/>
    <w:rsid w:val="00625F2E"/>
    <w:rsid w:val="00626EE3"/>
    <w:rsid w:val="00631824"/>
    <w:rsid w:val="006322C1"/>
    <w:rsid w:val="00667B3E"/>
    <w:rsid w:val="0068344B"/>
    <w:rsid w:val="006A3D09"/>
    <w:rsid w:val="006A56A9"/>
    <w:rsid w:val="006A5AF1"/>
    <w:rsid w:val="006B6534"/>
    <w:rsid w:val="006C0425"/>
    <w:rsid w:val="006C3B4E"/>
    <w:rsid w:val="006C50AE"/>
    <w:rsid w:val="007009FE"/>
    <w:rsid w:val="007402B0"/>
    <w:rsid w:val="007421E3"/>
    <w:rsid w:val="00746426"/>
    <w:rsid w:val="007504BE"/>
    <w:rsid w:val="00765ED5"/>
    <w:rsid w:val="0078195E"/>
    <w:rsid w:val="00787E5C"/>
    <w:rsid w:val="007B74AD"/>
    <w:rsid w:val="007C0654"/>
    <w:rsid w:val="007D77D1"/>
    <w:rsid w:val="007E5888"/>
    <w:rsid w:val="007F1DB3"/>
    <w:rsid w:val="007F5E00"/>
    <w:rsid w:val="008319BF"/>
    <w:rsid w:val="00831EE7"/>
    <w:rsid w:val="00834146"/>
    <w:rsid w:val="00840B75"/>
    <w:rsid w:val="0085369D"/>
    <w:rsid w:val="00877B2D"/>
    <w:rsid w:val="00882489"/>
    <w:rsid w:val="00883EF8"/>
    <w:rsid w:val="008D7B84"/>
    <w:rsid w:val="0090412A"/>
    <w:rsid w:val="009066A7"/>
    <w:rsid w:val="009068C0"/>
    <w:rsid w:val="00907F1C"/>
    <w:rsid w:val="00932C27"/>
    <w:rsid w:val="00937C98"/>
    <w:rsid w:val="00942415"/>
    <w:rsid w:val="00942628"/>
    <w:rsid w:val="00952AFA"/>
    <w:rsid w:val="00954702"/>
    <w:rsid w:val="0096361F"/>
    <w:rsid w:val="009C12D6"/>
    <w:rsid w:val="009E768C"/>
    <w:rsid w:val="009F2BA1"/>
    <w:rsid w:val="00A03EE7"/>
    <w:rsid w:val="00A07674"/>
    <w:rsid w:val="00A301D7"/>
    <w:rsid w:val="00A645F7"/>
    <w:rsid w:val="00A7141D"/>
    <w:rsid w:val="00A73D65"/>
    <w:rsid w:val="00AC3356"/>
    <w:rsid w:val="00AE6A49"/>
    <w:rsid w:val="00B34B41"/>
    <w:rsid w:val="00B3608B"/>
    <w:rsid w:val="00B72D65"/>
    <w:rsid w:val="00B87C85"/>
    <w:rsid w:val="00BA6FF5"/>
    <w:rsid w:val="00BB21A6"/>
    <w:rsid w:val="00BB2DFF"/>
    <w:rsid w:val="00BC43BD"/>
    <w:rsid w:val="00BC7208"/>
    <w:rsid w:val="00BE6D84"/>
    <w:rsid w:val="00BF29F6"/>
    <w:rsid w:val="00BF6C83"/>
    <w:rsid w:val="00C02E98"/>
    <w:rsid w:val="00C13382"/>
    <w:rsid w:val="00C23B9E"/>
    <w:rsid w:val="00C279A3"/>
    <w:rsid w:val="00C30849"/>
    <w:rsid w:val="00C465FE"/>
    <w:rsid w:val="00C67047"/>
    <w:rsid w:val="00C90CED"/>
    <w:rsid w:val="00C93AFD"/>
    <w:rsid w:val="00CA497D"/>
    <w:rsid w:val="00CB1917"/>
    <w:rsid w:val="00CB4E79"/>
    <w:rsid w:val="00CB7D4F"/>
    <w:rsid w:val="00CD310D"/>
    <w:rsid w:val="00CE3E99"/>
    <w:rsid w:val="00D1354D"/>
    <w:rsid w:val="00D17C3C"/>
    <w:rsid w:val="00D36EAD"/>
    <w:rsid w:val="00D370A9"/>
    <w:rsid w:val="00D54699"/>
    <w:rsid w:val="00D54A12"/>
    <w:rsid w:val="00D62AA0"/>
    <w:rsid w:val="00D84E05"/>
    <w:rsid w:val="00D95C69"/>
    <w:rsid w:val="00DA037A"/>
    <w:rsid w:val="00DA1B19"/>
    <w:rsid w:val="00DA5527"/>
    <w:rsid w:val="00DB29C6"/>
    <w:rsid w:val="00DB53A4"/>
    <w:rsid w:val="00DC1EEB"/>
    <w:rsid w:val="00DF7259"/>
    <w:rsid w:val="00E1044C"/>
    <w:rsid w:val="00E155A4"/>
    <w:rsid w:val="00E3458D"/>
    <w:rsid w:val="00E63ADB"/>
    <w:rsid w:val="00E71C54"/>
    <w:rsid w:val="00E93867"/>
    <w:rsid w:val="00EB407F"/>
    <w:rsid w:val="00EB6FAE"/>
    <w:rsid w:val="00ED2E59"/>
    <w:rsid w:val="00EE053F"/>
    <w:rsid w:val="00EE6B41"/>
    <w:rsid w:val="00F0537A"/>
    <w:rsid w:val="00F14137"/>
    <w:rsid w:val="00F24915"/>
    <w:rsid w:val="00F33C47"/>
    <w:rsid w:val="00F401F9"/>
    <w:rsid w:val="00F7439A"/>
    <w:rsid w:val="00F745B2"/>
    <w:rsid w:val="00F92AE5"/>
    <w:rsid w:val="00F945F2"/>
    <w:rsid w:val="00FA1218"/>
    <w:rsid w:val="00FA3BAB"/>
    <w:rsid w:val="00FC0440"/>
    <w:rsid w:val="00FD60A5"/>
    <w:rsid w:val="00FD754F"/>
    <w:rsid w:val="00FD75E1"/>
    <w:rsid w:val="00FE2ADE"/>
    <w:rsid w:val="00FF06FA"/>
    <w:rsid w:val="01E9E872"/>
    <w:rsid w:val="04305917"/>
    <w:rsid w:val="04BE6EC3"/>
    <w:rsid w:val="05E91C92"/>
    <w:rsid w:val="0675254C"/>
    <w:rsid w:val="076413A6"/>
    <w:rsid w:val="079F20EB"/>
    <w:rsid w:val="07D1B472"/>
    <w:rsid w:val="0878A67B"/>
    <w:rsid w:val="08CA14BD"/>
    <w:rsid w:val="09FE5B95"/>
    <w:rsid w:val="0A531B2B"/>
    <w:rsid w:val="0B557279"/>
    <w:rsid w:val="0DB01DA5"/>
    <w:rsid w:val="0E6D0E33"/>
    <w:rsid w:val="1136363E"/>
    <w:rsid w:val="12E13197"/>
    <w:rsid w:val="13D26F96"/>
    <w:rsid w:val="18364543"/>
    <w:rsid w:val="18BDDA67"/>
    <w:rsid w:val="19160C55"/>
    <w:rsid w:val="1925E97A"/>
    <w:rsid w:val="193254FD"/>
    <w:rsid w:val="1954E909"/>
    <w:rsid w:val="1A0DF231"/>
    <w:rsid w:val="1C1B4C4C"/>
    <w:rsid w:val="1D62A1DE"/>
    <w:rsid w:val="1E3DAF35"/>
    <w:rsid w:val="1E62C41D"/>
    <w:rsid w:val="1E90B23E"/>
    <w:rsid w:val="1EC50A9D"/>
    <w:rsid w:val="22396872"/>
    <w:rsid w:val="22C4F208"/>
    <w:rsid w:val="22CC98BA"/>
    <w:rsid w:val="242F8E8C"/>
    <w:rsid w:val="25236367"/>
    <w:rsid w:val="262F55F3"/>
    <w:rsid w:val="2B679DE5"/>
    <w:rsid w:val="2E57D653"/>
    <w:rsid w:val="308BCCFE"/>
    <w:rsid w:val="3097D065"/>
    <w:rsid w:val="30F0981C"/>
    <w:rsid w:val="34EA23A7"/>
    <w:rsid w:val="360446CE"/>
    <w:rsid w:val="361D7FE6"/>
    <w:rsid w:val="366C19B5"/>
    <w:rsid w:val="37AE6EDC"/>
    <w:rsid w:val="384F79CE"/>
    <w:rsid w:val="386E9515"/>
    <w:rsid w:val="3B5944F1"/>
    <w:rsid w:val="3B60930F"/>
    <w:rsid w:val="3CDF17D2"/>
    <w:rsid w:val="3E2AC407"/>
    <w:rsid w:val="3E464569"/>
    <w:rsid w:val="3E5C1E24"/>
    <w:rsid w:val="3EBF2E98"/>
    <w:rsid w:val="4047B4F6"/>
    <w:rsid w:val="42737410"/>
    <w:rsid w:val="428C3C5B"/>
    <w:rsid w:val="4348C011"/>
    <w:rsid w:val="444BD70A"/>
    <w:rsid w:val="4467F42B"/>
    <w:rsid w:val="464E780D"/>
    <w:rsid w:val="479550EF"/>
    <w:rsid w:val="47CF76C8"/>
    <w:rsid w:val="4887D61B"/>
    <w:rsid w:val="4A54C7BC"/>
    <w:rsid w:val="4DD2BF4E"/>
    <w:rsid w:val="4EFFD7A5"/>
    <w:rsid w:val="4F5A6128"/>
    <w:rsid w:val="50281A18"/>
    <w:rsid w:val="519E8FC2"/>
    <w:rsid w:val="53381FF4"/>
    <w:rsid w:val="553B2295"/>
    <w:rsid w:val="599249B4"/>
    <w:rsid w:val="5AB85471"/>
    <w:rsid w:val="5B007A41"/>
    <w:rsid w:val="5C8E7ECE"/>
    <w:rsid w:val="5CCC2275"/>
    <w:rsid w:val="5DAC384C"/>
    <w:rsid w:val="5F8D9F33"/>
    <w:rsid w:val="61856A0A"/>
    <w:rsid w:val="6192E3DD"/>
    <w:rsid w:val="62578C8A"/>
    <w:rsid w:val="6301C787"/>
    <w:rsid w:val="643E7CB2"/>
    <w:rsid w:val="65BAE452"/>
    <w:rsid w:val="66034C03"/>
    <w:rsid w:val="661A399D"/>
    <w:rsid w:val="6630073A"/>
    <w:rsid w:val="6766329F"/>
    <w:rsid w:val="67C45BFB"/>
    <w:rsid w:val="687EFA34"/>
    <w:rsid w:val="69C64304"/>
    <w:rsid w:val="6D1ACFE5"/>
    <w:rsid w:val="776017FA"/>
    <w:rsid w:val="787FAB7D"/>
    <w:rsid w:val="79196D9F"/>
    <w:rsid w:val="796CA231"/>
    <w:rsid w:val="7AF623CD"/>
    <w:rsid w:val="7BDE386C"/>
    <w:rsid w:val="7CE58E11"/>
    <w:rsid w:val="7D493C00"/>
    <w:rsid w:val="7E0D25E5"/>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6CCC22"/>
  <w15:docId w15:val="{E4FF0DE6-BAAF-4C2B-9656-246AD544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9E768C"/>
    <w:rPr>
      <w:rFonts w:eastAsiaTheme="minorEastAsia"/>
      <w:lang w:val="es-ES"/>
    </w:rPr>
  </w:style>
  <w:style w:type="character" w:styleId="Hipervnculo">
    <w:name w:val="Hyperlink"/>
    <w:basedOn w:val="Fuentedeprrafopredeter"/>
    <w:uiPriority w:val="99"/>
    <w:unhideWhenUsed/>
    <w:rsid w:val="00552C76"/>
    <w:rPr>
      <w:color w:val="0563C1" w:themeColor="hyperlink"/>
      <w:u w:val="single"/>
    </w:rPr>
  </w:style>
  <w:style w:type="character" w:customStyle="1" w:styleId="UnresolvedMention">
    <w:name w:val="Unresolved Mention"/>
    <w:basedOn w:val="Fuentedeprrafopredeter"/>
    <w:uiPriority w:val="99"/>
    <w:semiHidden/>
    <w:unhideWhenUsed/>
    <w:rsid w:val="00552C76"/>
    <w:rPr>
      <w:color w:val="605E5C"/>
      <w:shd w:val="clear" w:color="auto" w:fill="E1DFDD"/>
    </w:rPr>
  </w:style>
  <w:style w:type="character" w:styleId="Hipervnculovisitado">
    <w:name w:val="FollowedHyperlink"/>
    <w:basedOn w:val="Fuentedeprrafopredeter"/>
    <w:uiPriority w:val="99"/>
    <w:semiHidden/>
    <w:unhideWhenUsed/>
    <w:rsid w:val="00A64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9B567-D95B-4711-A300-4E81D518A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591</Words>
  <Characters>3254</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Carlos Alejandro Salinas Sanchez</cp:lastModifiedBy>
  <cp:revision>4</cp:revision>
  <cp:lastPrinted>2024-10-03T14:20:00Z</cp:lastPrinted>
  <dcterms:created xsi:type="dcterms:W3CDTF">2026-10-31T13:59:00Z</dcterms:created>
  <dcterms:modified xsi:type="dcterms:W3CDTF">2026-10-31T20:46:00Z</dcterms:modified>
</cp:coreProperties>
</file>