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Noto Sans" w:cs="Noto Sans" w:eastAsia="Noto Sans" w:hAnsi="Noto Sans"/>
          <w:sz w:val="19"/>
          <w:szCs w:val="19"/>
        </w:rPr>
      </w:pPr>
      <w:r w:rsidDel="00000000" w:rsidR="00000000" w:rsidRPr="00000000">
        <w:rPr>
          <w:rFonts w:ascii="Geom" w:cs="Geom" w:eastAsia="Geom" w:hAnsi="Geom"/>
          <w:sz w:val="21"/>
          <w:szCs w:val="21"/>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2369503</wp:posOffset>
                </wp:positionH>
                <wp:positionV relativeFrom="paragraph">
                  <wp:posOffset>-4761</wp:posOffset>
                </wp:positionV>
                <wp:extent cx="3855085" cy="647700"/>
                <wp:effectExtent b="0" l="0" r="0" t="0"/>
                <wp:wrapSquare wrapText="bothSides" distB="0" distT="0" distL="114300" distR="114300"/>
                <wp:docPr id="1" name=""/>
                <a:graphic>
                  <a:graphicData uri="http://schemas.microsoft.com/office/word/2010/wordprocessingShape">
                    <wps:wsp>
                      <wps:cNvSpPr/>
                      <wps:cNvPr id="2" name="Shape 2"/>
                      <wps:spPr>
                        <a:xfrm>
                          <a:off x="3423220" y="3460913"/>
                          <a:ext cx="3845560" cy="638175"/>
                        </a:xfrm>
                        <a:prstGeom prst="rect">
                          <a:avLst/>
                        </a:prstGeom>
                        <a:noFill/>
                        <a:ln>
                          <a:noFill/>
                        </a:ln>
                      </wps:spPr>
                      <wps:txbx>
                        <w:txbxContent>
                          <w:p w:rsidR="00000000" w:rsidDel="00000000" w:rsidP="00000000" w:rsidRDefault="00000000" w:rsidRPr="00000000">
                            <w:pPr>
                              <w:spacing w:after="40" w:before="120" w:line="219.99999046325684"/>
                              <w:ind w:left="0" w:right="0" w:firstLine="0"/>
                              <w:jc w:val="right"/>
                              <w:textDirection w:val="btLr"/>
                            </w:pPr>
                            <w:r w:rsidDel="00000000" w:rsidR="00000000" w:rsidRPr="00000000">
                              <w:rPr>
                                <w:rFonts w:ascii="Noto Sans" w:cs="Noto Sans" w:eastAsia="Noto Sans" w:hAnsi="Noto Sans"/>
                                <w:b w:val="0"/>
                                <w:i w:val="0"/>
                                <w:smallCaps w:val="0"/>
                                <w:strike w:val="0"/>
                                <w:color w:val="ba8c54"/>
                                <w:sz w:val="28"/>
                                <w:vertAlign w:val="baseline"/>
                              </w:rPr>
                              <w:t xml:space="preserve">BOLETÍN DE PRENSA</w:t>
                            </w:r>
                          </w:p>
                          <w:p w:rsidR="00000000" w:rsidDel="00000000" w:rsidP="00000000" w:rsidRDefault="00000000" w:rsidRPr="00000000">
                            <w:pPr>
                              <w:spacing w:after="40" w:before="120" w:line="219.99999046325684"/>
                              <w:ind w:left="0" w:right="0" w:firstLine="0"/>
                              <w:jc w:val="right"/>
                              <w:textDirection w:val="btLr"/>
                            </w:pPr>
                            <w:r w:rsidDel="00000000" w:rsidR="00000000" w:rsidRPr="00000000">
                              <w:rPr>
                                <w:rFonts w:ascii="Noto Sans" w:cs="Noto Sans" w:eastAsia="Noto Sans" w:hAnsi="Noto Sans"/>
                                <w:b w:val="0"/>
                                <w:i w:val="0"/>
                                <w:smallCaps w:val="0"/>
                                <w:strike w:val="0"/>
                                <w:color w:val="ba8c54"/>
                                <w:sz w:val="28"/>
                                <w:vertAlign w:val="baseline"/>
                              </w:rPr>
                            </w:r>
                            <w:r w:rsidDel="00000000" w:rsidR="00000000" w:rsidRPr="00000000">
                              <w:rPr>
                                <w:rFonts w:ascii="Noto Sans" w:cs="Noto Sans" w:eastAsia="Noto Sans" w:hAnsi="Noto Sans"/>
                                <w:b w:val="0"/>
                                <w:i w:val="0"/>
                                <w:smallCaps w:val="0"/>
                                <w:strike w:val="0"/>
                                <w:color w:val="000000"/>
                                <w:sz w:val="20"/>
                                <w:vertAlign w:val="baseline"/>
                              </w:rPr>
                              <w:t xml:space="preserve">Ciudad de México, ________________ de agosto de 2026 </w:t>
                            </w:r>
                          </w:p>
                          <w:p w:rsidR="00000000" w:rsidDel="00000000" w:rsidP="00000000" w:rsidRDefault="00000000" w:rsidRPr="00000000">
                            <w:pPr>
                              <w:spacing w:after="40" w:before="120" w:line="219.99999046325684"/>
                              <w:ind w:left="0" w:right="0" w:firstLine="0"/>
                              <w:jc w:val="right"/>
                              <w:textDirection w:val="btLr"/>
                            </w:pPr>
                            <w:r w:rsidDel="00000000" w:rsidR="00000000" w:rsidRPr="00000000">
                              <w:rPr>
                                <w:rFonts w:ascii="Noto Sans" w:cs="Noto Sans" w:eastAsia="Noto Sans" w:hAnsi="Noto Sans"/>
                                <w:b w:val="0"/>
                                <w:i w:val="0"/>
                                <w:smallCaps w:val="0"/>
                                <w:strike w:val="0"/>
                                <w:color w:val="000000"/>
                                <w:sz w:val="20"/>
                                <w:vertAlign w:val="baseline"/>
                              </w:rPr>
                            </w:r>
                            <w:r w:rsidDel="00000000" w:rsidR="00000000" w:rsidRPr="00000000">
                              <w:rPr>
                                <w:rFonts w:ascii="Noto Sans" w:cs="Noto Sans" w:eastAsia="Noto Sans" w:hAnsi="Noto Sans"/>
                                <w:b w:val="0"/>
                                <w:i w:val="0"/>
                                <w:smallCaps w:val="0"/>
                                <w:strike w:val="0"/>
                                <w:color w:val="000000"/>
                                <w:sz w:val="20"/>
                                <w:vertAlign w:val="baseline"/>
                              </w:rPr>
                              <w:t xml:space="preserve">No. ___/2026</w:t>
                            </w:r>
                          </w:p>
                          <w:p w:rsidR="00000000" w:rsidDel="00000000" w:rsidP="00000000" w:rsidRDefault="00000000" w:rsidRPr="00000000">
                            <w:pPr>
                              <w:spacing w:after="40" w:before="120" w:line="219.99999046325684"/>
                              <w:ind w:left="0" w:right="0" w:firstLine="0"/>
                              <w:jc w:val="right"/>
                              <w:textDirection w:val="btLr"/>
                            </w:pPr>
                            <w:r w:rsidDel="00000000" w:rsidR="00000000" w:rsidRPr="00000000">
                              <w:rPr>
                                <w:rFonts w:ascii="Noto Sans" w:cs="Noto Sans" w:eastAsia="Noto Sans" w:hAnsi="Noto Sans"/>
                                <w:b w:val="0"/>
                                <w:i w:val="0"/>
                                <w:smallCaps w:val="0"/>
                                <w:strike w:val="0"/>
                                <w:color w:val="000000"/>
                                <w:sz w:val="20"/>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2369503</wp:posOffset>
                </wp:positionH>
                <wp:positionV relativeFrom="paragraph">
                  <wp:posOffset>-4761</wp:posOffset>
                </wp:positionV>
                <wp:extent cx="3855085" cy="647700"/>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3855085" cy="647700"/>
                        </a:xfrm>
                        <a:prstGeom prst="rect"/>
                        <a:ln/>
                      </pic:spPr>
                    </pic:pic>
                  </a:graphicData>
                </a:graphic>
              </wp:anchor>
            </w:drawing>
          </mc:Fallback>
        </mc:AlternateContent>
      </w:r>
    </w:p>
    <w:p w:rsidR="00000000" w:rsidDel="00000000" w:rsidP="00000000" w:rsidRDefault="00000000" w:rsidRPr="00000000" w14:paraId="00000002">
      <w:pPr>
        <w:jc w:val="both"/>
        <w:rPr>
          <w:rFonts w:ascii="Noto Sans" w:cs="Noto Sans" w:eastAsia="Noto Sans" w:hAnsi="Noto Sans"/>
          <w:sz w:val="19"/>
          <w:szCs w:val="19"/>
        </w:rPr>
      </w:pPr>
      <w:r w:rsidDel="00000000" w:rsidR="00000000" w:rsidRPr="00000000">
        <w:rPr>
          <w:rtl w:val="0"/>
        </w:rPr>
      </w:r>
    </w:p>
    <w:p w:rsidR="00000000" w:rsidDel="00000000" w:rsidP="00000000" w:rsidRDefault="00000000" w:rsidRPr="00000000" w14:paraId="00000003">
      <w:pPr>
        <w:jc w:val="both"/>
        <w:rPr>
          <w:rFonts w:ascii="Noto Sans" w:cs="Noto Sans" w:eastAsia="Noto Sans" w:hAnsi="Noto Sans"/>
          <w:sz w:val="19"/>
          <w:szCs w:val="19"/>
        </w:rPr>
      </w:pPr>
      <w:r w:rsidDel="00000000" w:rsidR="00000000" w:rsidRPr="00000000">
        <w:rPr>
          <w:rtl w:val="0"/>
        </w:rPr>
      </w:r>
    </w:p>
    <w:p w:rsidR="00000000" w:rsidDel="00000000" w:rsidP="00000000" w:rsidRDefault="00000000" w:rsidRPr="00000000" w14:paraId="00000004">
      <w:pPr>
        <w:ind w:right="-1085"/>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005">
      <w:pP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                                                                                                                                                   </w:t>
      </w:r>
    </w:p>
    <w:p w:rsidR="00000000" w:rsidDel="00000000" w:rsidP="00000000" w:rsidRDefault="00000000" w:rsidRPr="00000000" w14:paraId="00000006">
      <w:pPr>
        <w:jc w:val="center"/>
        <w:rPr>
          <w:rFonts w:ascii="Noto Sans" w:cs="Noto Sans" w:eastAsia="Noto Sans" w:hAnsi="Noto Sans"/>
          <w:b w:val="1"/>
          <w:bCs w:val="1"/>
          <w:sz w:val="32"/>
          <w:szCs w:val="32"/>
        </w:rPr>
      </w:pPr>
      <w:r w:rsidDel="00000000" w:rsidR="00000000" w:rsidRPr="00000000">
        <w:rPr>
          <w:rFonts w:ascii="Noto Sans" w:cs="Noto Sans" w:eastAsia="Noto Sans" w:hAnsi="Noto Sans"/>
          <w:b w:val="1"/>
          <w:bCs w:val="1"/>
          <w:sz w:val="32"/>
          <w:szCs w:val="32"/>
          <w:rtl w:val="0"/>
        </w:rPr>
        <w:t xml:space="preserve">IMSS refuerza prevención y detección oportuna para reducir mortalidad por cáncer cervicouterino</w:t>
      </w:r>
    </w:p>
    <w:p w:rsidR="00000000" w:rsidDel="00000000" w:rsidP="00000000" w:rsidRDefault="00000000" w:rsidRPr="00000000" w14:paraId="00000007">
      <w:pPr>
        <w:jc w:val="center"/>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b w:val="1"/>
          <w:bCs w:val="1"/>
          <w:i w:val="0"/>
          <w:iCs w:val="0"/>
          <w:smallCaps w:val="0"/>
          <w:strike w:val="0"/>
          <w:color w:val="000000"/>
          <w:sz w:val="20"/>
          <w:szCs w:val="20"/>
          <w:u w:val="none"/>
          <w:shd w:fill="auto" w:val="clear"/>
          <w:vertAlign w:val="baseline"/>
          <w:rtl w:val="0"/>
        </w:rPr>
        <w:t xml:space="preserve">La vacunación contra el VPH y la realización periódica del Papanicolaou son las principales herramientas para prevenir y detectar a tiempo la enfermedad.</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sz w:val="20"/>
          <w:szCs w:val="20"/>
          <w:u w:val="none"/>
          <w:shd w:fill="auto" w:val="clear"/>
          <w:vertAlign w:val="baseline"/>
        </w:rPr>
      </w:pPr>
      <w:r w:rsidDel="00000000" w:rsidR="00000000" w:rsidRPr="00000000">
        <w:rPr>
          <w:rFonts w:ascii="Noto Sans" w:cs="Noto Sans" w:eastAsia="Noto Sans" w:hAnsi="Noto Sans"/>
          <w:b w:val="1"/>
          <w:bCs w:val="1"/>
          <w:i w:val="0"/>
          <w:iCs w:val="0"/>
          <w:smallCaps w:val="0"/>
          <w:strike w:val="0"/>
          <w:color w:val="000000"/>
          <w:sz w:val="20"/>
          <w:szCs w:val="20"/>
          <w:u w:val="none"/>
          <w:shd w:fill="auto" w:val="clear"/>
          <w:vertAlign w:val="baseline"/>
          <w:rtl w:val="0"/>
        </w:rPr>
        <w:t xml:space="preserve">Especialistas destacan que un diagnóstico oportuno permite tratamientos menos agresivos y mayores posibilidades de curación.</w:t>
      </w:r>
    </w:p>
    <w:p w:rsidR="00000000" w:rsidDel="00000000" w:rsidP="00000000" w:rsidRDefault="00000000" w:rsidRPr="00000000" w14:paraId="0000000A">
      <w:pPr>
        <w:jc w:val="both"/>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00B">
      <w:pPr>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Ante el impacto del cáncer cervicouterino como la segunda causa de muerte por cáncer en mujeres en México, el Instituto Mexicano del Seguro Social (IMSS) fortalece las estrategias de prevención, detección temprana y atención integral para identificar lesiones precursoras y evitar que evolucionen a etapas avanzadas.</w:t>
      </w:r>
    </w:p>
    <w:p w:rsidR="00000000" w:rsidDel="00000000" w:rsidP="00000000" w:rsidRDefault="00000000" w:rsidRPr="00000000" w14:paraId="0000000C">
      <w:pPr>
        <w:jc w:val="both"/>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00D">
      <w:pPr>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 doctora Lissette Olmos Mejía, médica ginecóloga colposcopista de la Unidad Médica de Alta Especialidad (UMAE) Hospital de Gineco Obstetricia No. 4 “Luis Castelazo Ayala”, señaló que la infección persistente por el Virus del Papiloma Humano (VPH) representa el principal factor de riesgo para desarrollar esta enfermedad. Por ello, exhortó a las mujeres a acudir periódicamente a su Unidad de Medicina Familiar (UMF) para realizarse estudios de detección.</w:t>
      </w:r>
    </w:p>
    <w:p w:rsidR="00000000" w:rsidDel="00000000" w:rsidP="00000000" w:rsidRDefault="00000000" w:rsidRPr="00000000" w14:paraId="0000000E">
      <w:pPr>
        <w:jc w:val="both"/>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00F">
      <w:pPr>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Indicó que el IMSS ofrece la citología cervicovaginal o Papanicolaou, una prueba rápida, sencilla y eficaz que identifica lesiones precursoras antes de que se conviertan en cáncer, estudio que se recomienda principalmente en mujeres de 25 a 65 años, así como para otros grupos cuando existe indicación médica.</w:t>
      </w:r>
    </w:p>
    <w:p w:rsidR="00000000" w:rsidDel="00000000" w:rsidP="00000000" w:rsidRDefault="00000000" w:rsidRPr="00000000" w14:paraId="00000010">
      <w:pPr>
        <w:jc w:val="both"/>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011">
      <w:pPr>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Subrayó que la vacunación contra el VPH constituye una de las medidas más efectivas para prevenir el cáncer cervicouterino, ya que brinda protección antes de la exposición al virus y reduce significativamente el riesgo de desarrollar la enfermedad. Asimismo, factores como el tabaquismo, las infecciones de transmisión sexual, múltiples parejas sexuales y alteraciones de la flora vaginal incrementan el riesgo.</w:t>
      </w:r>
    </w:p>
    <w:p w:rsidR="00000000" w:rsidDel="00000000" w:rsidP="00000000" w:rsidRDefault="00000000" w:rsidRPr="00000000" w14:paraId="00000012">
      <w:pPr>
        <w:jc w:val="both"/>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013">
      <w:pPr>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Por su parte, el doctor Omar Enrique Quintero Rodríguez, jefe del Servicio de Tumores Ginecológicos del Hospital de Gineco Obstetricia No. 4, afirmó que actualmente un diagnóstico de cáncer cervicouterino no representa una sentencia de muerte, gracias a los avances terapéuticos que mejoran la supervivencia y calidad de vida de las pacientes.</w:t>
      </w:r>
    </w:p>
    <w:p w:rsidR="00000000" w:rsidDel="00000000" w:rsidP="00000000" w:rsidRDefault="00000000" w:rsidRPr="00000000" w14:paraId="00000014">
      <w:pPr>
        <w:jc w:val="both"/>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015">
      <w:pPr>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Expuso que la detección oportuna es determinante para obtener mejores resultados clínicos, ya que permite utilizar tratamientos menos invasivos e incluso procedimientos ambulatorios. En etapas más avanzadas, existen alternativas como cirugía, radioterapia, braquiterapia y quimioterapia, dentro de un modelo de atención multidisciplinario.</w:t>
      </w:r>
    </w:p>
    <w:p w:rsidR="00000000" w:rsidDel="00000000" w:rsidP="00000000" w:rsidRDefault="00000000" w:rsidRPr="00000000" w14:paraId="00000016">
      <w:pPr>
        <w:jc w:val="both"/>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017">
      <w:pPr>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Los especialistas del IMSS coincidieron en que la prevención, vacunación contra el VPH y realización periódica del Papanicolaou son las medidas más eficaces para disminuir la incidencia y mortalidad por cáncer cervicouterino en México. Detectar la enfermedad a tiempo aumenta significativamente las posibilidades de curación y evita tratamientos más complejos.</w:t>
      </w:r>
    </w:p>
    <w:p w:rsidR="00000000" w:rsidDel="00000000" w:rsidP="00000000" w:rsidRDefault="00000000" w:rsidRPr="00000000" w14:paraId="00000018">
      <w:pPr>
        <w:jc w:val="both"/>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019">
      <w:pPr>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---o0o---</w:t>
      </w:r>
    </w:p>
    <w:sectPr>
      <w:headerReference r:id="rId7" w:type="default"/>
      <w:pgSz w:h="15840" w:w="12240" w:orient="portrait"/>
      <w:pgMar w:bottom="1843" w:top="2342"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Geom">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-1080134</wp:posOffset>
          </wp:positionH>
          <wp:positionV relativeFrom="paragraph">
            <wp:posOffset>-441627</wp:posOffset>
          </wp:positionV>
          <wp:extent cx="7825859" cy="10127217"/>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25859" cy="1012721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9"/>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MX"/>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10" Type="http://schemas.openxmlformats.org/officeDocument/2006/relationships/font" Target="fonts/Geom-boldItalic.ttf"/><Relationship Id="rId9" Type="http://schemas.openxmlformats.org/officeDocument/2006/relationships/font" Target="fonts/Geom-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Geom-regular.ttf"/><Relationship Id="rId8" Type="http://schemas.openxmlformats.org/officeDocument/2006/relationships/font" Target="fonts/Geom-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