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4F595" w14:textId="77777777" w:rsidR="0030476A" w:rsidRPr="000A408C" w:rsidRDefault="004A2714" w:rsidP="003A034A">
      <w:pPr>
        <w:jc w:val="both"/>
        <w:rPr>
          <w:rFonts w:ascii="Noto Sans" w:hAnsi="Noto Sans" w:cs="Noto Sans"/>
          <w:sz w:val="19"/>
          <w:szCs w:val="19"/>
          <w:lang w:val="es-MX"/>
        </w:rPr>
      </w:pPr>
      <w:r w:rsidRPr="00DA1B19">
        <w:rPr>
          <w:rFonts w:ascii="Geomanist" w:hAnsi="Geomanist"/>
          <w:noProof/>
          <w:sz w:val="21"/>
          <w:szCs w:val="21"/>
          <w:lang w:val="en-US"/>
        </w:rPr>
        <mc:AlternateContent>
          <mc:Choice Requires="wps">
            <w:drawing>
              <wp:anchor distT="0" distB="0" distL="114300" distR="114300" simplePos="0" relativeHeight="251660288" behindDoc="0" locked="0" layoutInCell="1" allowOverlap="1" wp14:anchorId="1A4F6F4B" wp14:editId="1DA6978F">
                <wp:simplePos x="0" y="0"/>
                <wp:positionH relativeFrom="column">
                  <wp:posOffset>2375535</wp:posOffset>
                </wp:positionH>
                <wp:positionV relativeFrom="paragraph">
                  <wp:posOffset>0</wp:posOffset>
                </wp:positionV>
                <wp:extent cx="3845560" cy="714375"/>
                <wp:effectExtent l="0" t="0" r="2540" b="9525"/>
                <wp:wrapSquare wrapText="bothSides"/>
                <wp:docPr id="3" name="Text Box 2"/>
                <wp:cNvGraphicFramePr/>
                <a:graphic xmlns:a="http://schemas.openxmlformats.org/drawingml/2006/main">
                  <a:graphicData uri="http://schemas.microsoft.com/office/word/2010/wordprocessingShape">
                    <wps:wsp>
                      <wps:cNvSpPr/>
                      <wps:spPr>
                        <a:xfrm>
                          <a:off x="0" y="0"/>
                          <a:ext cx="3845560" cy="714375"/>
                        </a:xfrm>
                        <a:prstGeom prst="rect">
                          <a:avLst/>
                        </a:prstGeom>
                        <a:noFill/>
                        <a:ln>
                          <a:noFill/>
                        </a:ln>
                      </wps:spPr>
                      <wps:style>
                        <a:lnRef idx="0">
                          <a:schemeClr val="accent1"/>
                        </a:lnRef>
                        <a:fillRef idx="0">
                          <a:schemeClr val="accent1"/>
                        </a:fillRef>
                        <a:effectRef idx="0">
                          <a:scrgbClr r="0" g="0" b="0"/>
                        </a:effectRef>
                        <a:fontRef idx="minor">
                          <a:schemeClr val="dk1"/>
                        </a:fontRef>
                      </wps:style>
                      <wps:txbx>
                        <w:txbxContent>
                          <w:p w14:paraId="5FCAEAE5" w14:textId="77777777" w:rsidR="00501C8C" w:rsidRPr="008F08DB" w:rsidRDefault="00501C8C" w:rsidP="00103955">
                            <w:pPr>
                              <w:spacing w:before="120" w:after="40" w:line="182" w:lineRule="auto"/>
                              <w:jc w:val="right"/>
                              <w:rPr>
                                <w:rFonts w:ascii="Noto Sans" w:hAnsi="Noto Sans"/>
                                <w:color w:val="BA8C54"/>
                                <w:sz w:val="28"/>
                                <w:szCs w:val="28"/>
                                <w:lang w:val="es-MX"/>
                              </w:rPr>
                            </w:pPr>
                            <w:r w:rsidRPr="008F08DB">
                              <w:rPr>
                                <w:rFonts w:ascii="Noto Sans" w:hAnsi="Noto Sans"/>
                                <w:color w:val="BA8C54"/>
                                <w:sz w:val="28"/>
                                <w:szCs w:val="28"/>
                                <w:lang w:val="es-MX"/>
                              </w:rPr>
                              <w:t>BOLETÍN DE PRENSA</w:t>
                            </w:r>
                          </w:p>
                          <w:p w14:paraId="06A23307" w14:textId="16B2503E" w:rsidR="00501C8C" w:rsidRPr="008F08DB" w:rsidRDefault="00501C8C" w:rsidP="00103955">
                            <w:pPr>
                              <w:spacing w:before="120" w:after="40" w:line="182" w:lineRule="auto"/>
                              <w:jc w:val="right"/>
                              <w:rPr>
                                <w:rFonts w:ascii="Noto Sans" w:hAnsi="Noto Sans"/>
                                <w:color w:val="000000" w:themeColor="dark1"/>
                                <w:sz w:val="20"/>
                                <w:szCs w:val="20"/>
                                <w:lang w:val="es-MX"/>
                              </w:rPr>
                            </w:pPr>
                            <w:r w:rsidRPr="008F08DB">
                              <w:rPr>
                                <w:rFonts w:ascii="Noto Sans" w:hAnsi="Noto Sans"/>
                                <w:color w:val="000000" w:themeColor="dark1"/>
                                <w:sz w:val="20"/>
                                <w:szCs w:val="20"/>
                                <w:lang w:val="es-MX"/>
                              </w:rPr>
                              <w:t xml:space="preserve">Ciudad de México, </w:t>
                            </w:r>
                            <w:r w:rsidR="008F08DB">
                              <w:rPr>
                                <w:rFonts w:ascii="Noto Sans" w:hAnsi="Noto Sans"/>
                                <w:color w:val="000000" w:themeColor="dark1"/>
                                <w:sz w:val="20"/>
                                <w:szCs w:val="20"/>
                                <w:lang w:val="es-MX"/>
                              </w:rPr>
                              <w:t xml:space="preserve">lunes 26 </w:t>
                            </w:r>
                            <w:r w:rsidRPr="008F08DB">
                              <w:rPr>
                                <w:rFonts w:ascii="Noto Sans" w:hAnsi="Noto Sans"/>
                                <w:color w:val="000000" w:themeColor="dark1"/>
                                <w:sz w:val="20"/>
                                <w:szCs w:val="20"/>
                                <w:lang w:val="es-MX"/>
                              </w:rPr>
                              <w:t xml:space="preserve">de octubre de 2026 </w:t>
                            </w:r>
                          </w:p>
                          <w:p w14:paraId="178C533C" w14:textId="4897ADBF" w:rsidR="00501C8C" w:rsidRDefault="00501C8C" w:rsidP="00103955">
                            <w:pPr>
                              <w:spacing w:before="120" w:after="40" w:line="182" w:lineRule="auto"/>
                              <w:jc w:val="right"/>
                              <w:rPr>
                                <w:rFonts w:ascii="Noto Sans" w:hAnsi="Noto Sans"/>
                                <w:color w:val="000000" w:themeColor="dark1"/>
                                <w:sz w:val="20"/>
                                <w:szCs w:val="20"/>
                                <w:lang w:val="en-US"/>
                              </w:rPr>
                            </w:pPr>
                            <w:r>
                              <w:rPr>
                                <w:rFonts w:ascii="Noto Sans" w:hAnsi="Noto Sans"/>
                                <w:color w:val="000000" w:themeColor="dark1"/>
                                <w:sz w:val="20"/>
                                <w:szCs w:val="20"/>
                                <w:lang w:val="en-US"/>
                              </w:rPr>
                              <w:t>No.</w:t>
                            </w:r>
                            <w:r w:rsidR="008F08DB">
                              <w:rPr>
                                <w:rFonts w:ascii="Noto Sans" w:hAnsi="Noto Sans"/>
                                <w:color w:val="000000" w:themeColor="dark1"/>
                                <w:sz w:val="20"/>
                                <w:szCs w:val="20"/>
                                <w:lang w:val="en-US"/>
                              </w:rPr>
                              <w:t xml:space="preserve"> 559</w:t>
                            </w:r>
                            <w:r>
                              <w:rPr>
                                <w:rFonts w:ascii="Noto Sans" w:hAnsi="Noto Sans"/>
                                <w:color w:val="000000" w:themeColor="dark1"/>
                                <w:sz w:val="20"/>
                                <w:szCs w:val="20"/>
                                <w:lang w:val="en-US"/>
                              </w:rPr>
                              <w:t>/2026</w:t>
                            </w:r>
                          </w:p>
                          <w:p w14:paraId="7D61E768" w14:textId="77777777" w:rsidR="00501C8C" w:rsidRDefault="00501C8C" w:rsidP="00103955">
                            <w:pPr>
                              <w:spacing w:before="120" w:after="40" w:line="182" w:lineRule="auto"/>
                              <w:jc w:val="right"/>
                              <w:rPr>
                                <w:rFonts w:ascii="Noto Sans" w:hAnsi="Noto Sans"/>
                                <w:color w:val="000000" w:themeColor="dark1"/>
                                <w:sz w:val="20"/>
                                <w:szCs w:val="20"/>
                                <w:lang w:val="en-US"/>
                              </w:rPr>
                            </w:pPr>
                            <w:r>
                              <w:rPr>
                                <w:rFonts w:ascii="Noto Sans" w:hAnsi="Noto Sans"/>
                                <w:color w:val="000000" w:themeColor="dark1"/>
                                <w:sz w:val="20"/>
                                <w:szCs w:val="20"/>
                                <w:lang w:val="en-US"/>
                              </w:rPr>
                              <w:t> </w:t>
                            </w:r>
                          </w:p>
                        </w:txbxContent>
                      </wps:txbx>
                      <wps:bodyPr spcFirstLastPara="0" wrap="square" lIns="0" tIns="0" rIns="0" bIns="0" anchor="t">
                        <a:noAutofit/>
                      </wps:bodyPr>
                    </wps:wsp>
                  </a:graphicData>
                </a:graphic>
                <wp14:sizeRelH relativeFrom="margin">
                  <wp14:pctWidth>0</wp14:pctWidth>
                </wp14:sizeRelH>
                <wp14:sizeRelV relativeFrom="margin">
                  <wp14:pctHeight>0</wp14:pctHeight>
                </wp14:sizeRelV>
              </wp:anchor>
            </w:drawing>
          </mc:Choice>
          <mc:Fallback>
            <w:pict>
              <v:rect w14:anchorId="1A4F6F4B" id="Text Box 2" o:spid="_x0000_s1026" style="position:absolute;left:0;text-align:left;margin-left:187.05pt;margin-top:0;width:302.8pt;height:5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" filled="f" stroked="f">
                <v:textbox inset="0,0,0,0">
                  <w:txbxContent>
                    <w:p w14:paraId="5FCAEAE5" w14:textId="77777777" w:rsidR="00501C8C" w:rsidRPr="008F08DB" w:rsidRDefault="00501C8C" w:rsidP="00103955">
                      <w:pPr>
                        <w:spacing w:before="120" w:after="40" w:line="182" w:lineRule="auto"/>
                        <w:jc w:val="right"/>
                        <w:rPr>
                          <w:rFonts w:ascii="Noto Sans" w:hAnsi="Noto Sans"/>
                          <w:color w:val="BA8C54"/>
                          <w:sz w:val="28"/>
                          <w:szCs w:val="28"/>
                          <w:lang w:val="es-MX"/>
                        </w:rPr>
                      </w:pPr>
                      <w:r w:rsidRPr="008F08DB">
                        <w:rPr>
                          <w:rFonts w:ascii="Noto Sans" w:hAnsi="Noto Sans"/>
                          <w:color w:val="BA8C54"/>
                          <w:sz w:val="28"/>
                          <w:szCs w:val="28"/>
                          <w:lang w:val="es-MX"/>
                        </w:rPr>
                        <w:t>BOLETÍN DE PRENSA</w:t>
                      </w:r>
                    </w:p>
                    <w:p w14:paraId="06A23307" w14:textId="16B2503E" w:rsidR="00501C8C" w:rsidRPr="008F08DB" w:rsidRDefault="00501C8C" w:rsidP="00103955">
                      <w:pPr>
                        <w:spacing w:before="120" w:after="40" w:line="182" w:lineRule="auto"/>
                        <w:jc w:val="right"/>
                        <w:rPr>
                          <w:rFonts w:ascii="Noto Sans" w:hAnsi="Noto Sans"/>
                          <w:color w:val="000000" w:themeColor="dark1"/>
                          <w:sz w:val="20"/>
                          <w:szCs w:val="20"/>
                          <w:lang w:val="es-MX"/>
                        </w:rPr>
                      </w:pPr>
                      <w:r w:rsidRPr="008F08DB">
                        <w:rPr>
                          <w:rFonts w:ascii="Noto Sans" w:hAnsi="Noto Sans"/>
                          <w:color w:val="000000" w:themeColor="dark1"/>
                          <w:sz w:val="20"/>
                          <w:szCs w:val="20"/>
                          <w:lang w:val="es-MX"/>
                        </w:rPr>
                        <w:t xml:space="preserve">Ciudad de México, </w:t>
                      </w:r>
                      <w:r w:rsidR="008F08DB">
                        <w:rPr>
                          <w:rFonts w:ascii="Noto Sans" w:hAnsi="Noto Sans"/>
                          <w:color w:val="000000" w:themeColor="dark1"/>
                          <w:sz w:val="20"/>
                          <w:szCs w:val="20"/>
                          <w:lang w:val="es-MX"/>
                        </w:rPr>
                        <w:t xml:space="preserve">lunes 26 </w:t>
                      </w:r>
                      <w:r w:rsidRPr="008F08DB">
                        <w:rPr>
                          <w:rFonts w:ascii="Noto Sans" w:hAnsi="Noto Sans"/>
                          <w:color w:val="000000" w:themeColor="dark1"/>
                          <w:sz w:val="20"/>
                          <w:szCs w:val="20"/>
                          <w:lang w:val="es-MX"/>
                        </w:rPr>
                        <w:t xml:space="preserve">de octubre de 2026 </w:t>
                      </w:r>
                    </w:p>
                    <w:p w14:paraId="178C533C" w14:textId="4897ADBF" w:rsidR="00501C8C" w:rsidRDefault="00501C8C" w:rsidP="00103955">
                      <w:pPr>
                        <w:spacing w:before="120" w:after="40" w:line="182" w:lineRule="auto"/>
                        <w:jc w:val="right"/>
                        <w:rPr>
                          <w:rFonts w:ascii="Noto Sans" w:hAnsi="Noto Sans"/>
                          <w:color w:val="000000" w:themeColor="dark1"/>
                          <w:sz w:val="20"/>
                          <w:szCs w:val="20"/>
                          <w:lang w:val="en-US"/>
                        </w:rPr>
                      </w:pPr>
                      <w:r>
                        <w:rPr>
                          <w:rFonts w:ascii="Noto Sans" w:hAnsi="Noto Sans"/>
                          <w:color w:val="000000" w:themeColor="dark1"/>
                          <w:sz w:val="20"/>
                          <w:szCs w:val="20"/>
                          <w:lang w:val="en-US"/>
                        </w:rPr>
                        <w:t>No.</w:t>
                      </w:r>
                      <w:r w:rsidR="008F08DB">
                        <w:rPr>
                          <w:rFonts w:ascii="Noto Sans" w:hAnsi="Noto Sans"/>
                          <w:color w:val="000000" w:themeColor="dark1"/>
                          <w:sz w:val="20"/>
                          <w:szCs w:val="20"/>
                          <w:lang w:val="en-US"/>
                        </w:rPr>
                        <w:t xml:space="preserve"> 559</w:t>
                      </w:r>
                      <w:r>
                        <w:rPr>
                          <w:rFonts w:ascii="Noto Sans" w:hAnsi="Noto Sans"/>
                          <w:color w:val="000000" w:themeColor="dark1"/>
                          <w:sz w:val="20"/>
                          <w:szCs w:val="20"/>
                          <w:lang w:val="en-US"/>
                        </w:rPr>
                        <w:t>/2026</w:t>
                      </w:r>
                    </w:p>
                    <w:p w14:paraId="7D61E768" w14:textId="77777777" w:rsidR="00501C8C" w:rsidRDefault="00501C8C" w:rsidP="00103955">
                      <w:pPr>
                        <w:spacing w:before="120" w:after="40" w:line="182" w:lineRule="auto"/>
                        <w:jc w:val="right"/>
                        <w:rPr>
                          <w:rFonts w:ascii="Noto Sans" w:hAnsi="Noto Sans"/>
                          <w:color w:val="000000" w:themeColor="dark1"/>
                          <w:sz w:val="20"/>
                          <w:szCs w:val="20"/>
                          <w:lang w:val="en-US"/>
                        </w:rPr>
                      </w:pPr>
                      <w:r>
                        <w:rPr>
                          <w:rFonts w:ascii="Noto Sans" w:hAnsi="Noto Sans"/>
                          <w:color w:val="000000" w:themeColor="dark1"/>
                          <w:sz w:val="20"/>
                          <w:szCs w:val="20"/>
                          <w:lang w:val="en-US"/>
                        </w:rPr>
                        <w:t> </w:t>
                      </w:r>
                    </w:p>
                  </w:txbxContent>
                </v:textbox>
                <w10:wrap type="square"/>
              </v:rect>
            </w:pict>
          </mc:Fallback>
        </mc:AlternateContent>
      </w:r>
      <w:r w:rsidR="00A73D65" w:rsidRPr="00007681">
        <w:rPr>
          <w:rFonts w:ascii="Geomanist" w:hAnsi="Geomanist"/>
          <w:sz w:val="21"/>
          <w:szCs w:val="21"/>
          <w:lang w:val="es-MX"/>
        </w:rPr>
        <w:t xml:space="preserve"> </w:t>
      </w:r>
    </w:p>
    <w:p w14:paraId="2C9E2E5F" w14:textId="77777777" w:rsidR="00625F2E" w:rsidRDefault="00625F2E" w:rsidP="5B007A41">
      <w:pPr>
        <w:jc w:val="both"/>
      </w:pPr>
      <w:r w:rsidRPr="5B007A41">
        <w:rPr>
          <w:rFonts w:ascii="Noto Sans" w:hAnsi="Noto Sans" w:cs="Noto Sans"/>
          <w:b/>
          <w:bCs/>
          <w:lang w:val="es-MX"/>
        </w:rPr>
        <w:t xml:space="preserve">        </w:t>
      </w:r>
    </w:p>
    <w:p w14:paraId="4B65B2CD" w14:textId="77777777" w:rsidR="00625F2E" w:rsidRDefault="00625F2E" w:rsidP="5B007A41">
      <w:pPr>
        <w:jc w:val="both"/>
        <w:rPr>
          <w:rFonts w:ascii="Noto Sans" w:hAnsi="Noto Sans" w:cs="Noto Sans"/>
          <w:b/>
          <w:bCs/>
          <w:lang w:val="es-MX"/>
        </w:rPr>
      </w:pPr>
    </w:p>
    <w:p w14:paraId="17893678" w14:textId="77777777" w:rsidR="00625F2E" w:rsidRDefault="00625F2E" w:rsidP="5B007A41">
      <w:pPr>
        <w:jc w:val="both"/>
        <w:rPr>
          <w:rFonts w:ascii="Noto Sans" w:hAnsi="Noto Sans" w:cs="Noto Sans"/>
          <w:b/>
          <w:bCs/>
          <w:lang w:val="es-MX"/>
        </w:rPr>
      </w:pPr>
      <w:r w:rsidRPr="5B007A41">
        <w:rPr>
          <w:rFonts w:ascii="Noto Sans" w:hAnsi="Noto Sans" w:cs="Noto Sans"/>
          <w:b/>
          <w:bCs/>
          <w:lang w:val="es-MX"/>
        </w:rPr>
        <w:t xml:space="preserve">                                                                                                                                         </w:t>
      </w:r>
    </w:p>
    <w:p w14:paraId="05FB64D3" w14:textId="77777777" w:rsidR="242F8E8C" w:rsidRDefault="242F8E8C" w:rsidP="5B007A41">
      <w:pPr>
        <w:jc w:val="center"/>
      </w:pPr>
      <w:r w:rsidRPr="5B007A41">
        <w:rPr>
          <w:rFonts w:ascii="Noto Sans" w:hAnsi="Noto Sans" w:cs="Noto Sans"/>
          <w:b/>
          <w:bCs/>
          <w:sz w:val="32"/>
          <w:szCs w:val="32"/>
          <w:lang w:val="es-MX"/>
        </w:rPr>
        <w:t>Realiza IMSS jornada de cirugía oncológica pediátrica para atender casos de alta complejidad en CMN La Raza</w:t>
      </w:r>
    </w:p>
    <w:p w14:paraId="1857B438" w14:textId="77777777" w:rsidR="002A0DB3" w:rsidRDefault="002A0DB3" w:rsidP="00787E5C">
      <w:pPr>
        <w:jc w:val="center"/>
        <w:rPr>
          <w:rFonts w:ascii="Noto Sans" w:hAnsi="Noto Sans" w:cs="Noto Sans"/>
          <w:b/>
          <w:bCs/>
          <w:lang w:val="es-MX"/>
        </w:rPr>
      </w:pPr>
    </w:p>
    <w:p w14:paraId="77A97958" w14:textId="77777777" w:rsidR="242F8E8C" w:rsidRDefault="242F8E8C" w:rsidP="5B007A41">
      <w:pPr>
        <w:pStyle w:val="Prrafodelista"/>
        <w:numPr>
          <w:ilvl w:val="0"/>
          <w:numId w:val="15"/>
        </w:numPr>
        <w:jc w:val="both"/>
        <w:rPr>
          <w:rFonts w:ascii="Noto Sans" w:hAnsi="Noto Sans" w:cs="Noto Sans"/>
          <w:b/>
          <w:bCs/>
          <w:sz w:val="20"/>
          <w:szCs w:val="20"/>
        </w:rPr>
      </w:pPr>
      <w:r w:rsidRPr="5B007A41">
        <w:rPr>
          <w:rFonts w:ascii="Noto Sans" w:hAnsi="Noto Sans" w:cs="Noto Sans"/>
          <w:b/>
          <w:bCs/>
          <w:sz w:val="20"/>
          <w:szCs w:val="20"/>
        </w:rPr>
        <w:t>Especialistas atendieron a 16 pacientes pediátricos con tumores, malformaciones vasculares y otros padecimientos complejos.</w:t>
      </w:r>
    </w:p>
    <w:p w14:paraId="3BA11D3B" w14:textId="77777777" w:rsidR="242F8E8C" w:rsidRDefault="242F8E8C" w:rsidP="5B007A41">
      <w:pPr>
        <w:pStyle w:val="Prrafodelista"/>
        <w:numPr>
          <w:ilvl w:val="0"/>
          <w:numId w:val="15"/>
        </w:numPr>
        <w:jc w:val="both"/>
        <w:rPr>
          <w:rFonts w:ascii="Noto Sans" w:hAnsi="Noto Sans" w:cs="Noto Sans"/>
          <w:b/>
          <w:bCs/>
          <w:sz w:val="20"/>
          <w:szCs w:val="20"/>
        </w:rPr>
      </w:pPr>
      <w:r w:rsidRPr="5B007A41">
        <w:rPr>
          <w:rFonts w:ascii="Noto Sans" w:hAnsi="Noto Sans" w:cs="Noto Sans"/>
          <w:b/>
          <w:bCs/>
          <w:sz w:val="20"/>
          <w:szCs w:val="20"/>
        </w:rPr>
        <w:t>La UMAE Hospital General “Dr. Gaudencio González Garza” ha realizado más de 49 jornadas quirúrgicas este año, en beneficio de más de dos mil derechohabientes.</w:t>
      </w:r>
    </w:p>
    <w:p w14:paraId="2EEB2871" w14:textId="77777777" w:rsidR="5B007A41" w:rsidRDefault="5B007A41" w:rsidP="5B007A41">
      <w:pPr>
        <w:jc w:val="both"/>
        <w:rPr>
          <w:rFonts w:ascii="Noto Sans" w:hAnsi="Noto Sans" w:cs="Noto Sans"/>
          <w:sz w:val="20"/>
          <w:szCs w:val="20"/>
        </w:rPr>
      </w:pPr>
    </w:p>
    <w:p w14:paraId="0E7B3FE2" w14:textId="77777777" w:rsidR="242F8E8C" w:rsidRDefault="242F8E8C" w:rsidP="5B007A41">
      <w:pPr>
        <w:spacing w:line="259" w:lineRule="auto"/>
        <w:jc w:val="both"/>
      </w:pPr>
      <w:r w:rsidRPr="5B007A41">
        <w:rPr>
          <w:rFonts w:ascii="Noto Sans" w:hAnsi="Noto Sans" w:cs="Noto Sans"/>
          <w:sz w:val="20"/>
          <w:szCs w:val="20"/>
        </w:rPr>
        <w:t>El Instituto Mexicano del Seguro Social (IMSS) llevó a cabo una Jornada de Cirugía Oncológica Pediátrica en la Unidad Médica de Alta Especialidad (UMAE) Hospital General “Dr. Gaudencio González Garza” del Centro Médico Nacional (CMN) La Raza, con el objetivo de brindar atención oportuna a 16 pacientes de entre tres y 17 años que requerían procedimientos quirúrgicos de alta complejidad.</w:t>
      </w:r>
    </w:p>
    <w:p w14:paraId="294E89DC" w14:textId="77777777" w:rsidR="5B007A41" w:rsidRDefault="5B007A41" w:rsidP="5B007A41">
      <w:pPr>
        <w:spacing w:line="259" w:lineRule="auto"/>
        <w:jc w:val="both"/>
        <w:rPr>
          <w:rFonts w:ascii="Noto Sans" w:hAnsi="Noto Sans" w:cs="Noto Sans"/>
          <w:sz w:val="20"/>
          <w:szCs w:val="20"/>
        </w:rPr>
      </w:pPr>
    </w:p>
    <w:p w14:paraId="450B7EB5" w14:textId="77777777" w:rsidR="242F8E8C" w:rsidRDefault="242F8E8C" w:rsidP="5B007A41">
      <w:pPr>
        <w:spacing w:line="259" w:lineRule="auto"/>
        <w:jc w:val="both"/>
      </w:pPr>
      <w:r w:rsidRPr="5B007A41">
        <w:rPr>
          <w:rFonts w:ascii="Noto Sans" w:hAnsi="Noto Sans" w:cs="Noto Sans"/>
          <w:sz w:val="20"/>
          <w:szCs w:val="20"/>
        </w:rPr>
        <w:t>Durante dos días, equipos multidisciplinarios realizaron intervenciones para tratar diversos padecimientos, entre ellos tumores, malformaciones vasculares y linfáticas, así como enfermedades que afectan órganos como el hígado y los pulmones, además de la pared torácica y la región genital.</w:t>
      </w:r>
    </w:p>
    <w:p w14:paraId="6508D206" w14:textId="77777777" w:rsidR="5B007A41" w:rsidRDefault="5B007A41" w:rsidP="5B007A41">
      <w:pPr>
        <w:spacing w:line="259" w:lineRule="auto"/>
        <w:jc w:val="both"/>
        <w:rPr>
          <w:rFonts w:ascii="Noto Sans" w:hAnsi="Noto Sans" w:cs="Noto Sans"/>
          <w:sz w:val="20"/>
          <w:szCs w:val="20"/>
        </w:rPr>
      </w:pPr>
    </w:p>
    <w:p w14:paraId="1E6E1C14" w14:textId="77777777" w:rsidR="242F8E8C" w:rsidRDefault="242F8E8C" w:rsidP="5B007A41">
      <w:pPr>
        <w:spacing w:line="259" w:lineRule="auto"/>
        <w:jc w:val="both"/>
      </w:pPr>
      <w:r w:rsidRPr="5B007A41">
        <w:rPr>
          <w:rFonts w:ascii="Noto Sans" w:hAnsi="Noto Sans" w:cs="Noto Sans"/>
          <w:sz w:val="20"/>
          <w:szCs w:val="20"/>
        </w:rPr>
        <w:t>El encargado de la División de Pediatría Quirúrgica de la UMAE, doctor Salvador Cuevas Villegas, destacó que estas jornadas fortalecen la coordinación entre especialidades y contribuyen a reducir los tiempos de espera para la atención de pacientes cuya evolución clínica exige intervenciones oportunas.</w:t>
      </w:r>
    </w:p>
    <w:p w14:paraId="0137F453" w14:textId="77777777" w:rsidR="5B007A41" w:rsidRDefault="5B007A41" w:rsidP="5B007A41">
      <w:pPr>
        <w:spacing w:line="259" w:lineRule="auto"/>
        <w:jc w:val="both"/>
        <w:rPr>
          <w:rFonts w:ascii="Noto Sans" w:hAnsi="Noto Sans" w:cs="Noto Sans"/>
          <w:sz w:val="20"/>
          <w:szCs w:val="20"/>
        </w:rPr>
      </w:pPr>
    </w:p>
    <w:p w14:paraId="5AA4CB73" w14:textId="77777777" w:rsidR="242F8E8C" w:rsidRDefault="242F8E8C" w:rsidP="5B007A41">
      <w:pPr>
        <w:spacing w:line="259" w:lineRule="auto"/>
        <w:jc w:val="both"/>
      </w:pPr>
      <w:r w:rsidRPr="5B007A41">
        <w:rPr>
          <w:rFonts w:ascii="Noto Sans" w:hAnsi="Noto Sans" w:cs="Noto Sans"/>
          <w:sz w:val="20"/>
          <w:szCs w:val="20"/>
        </w:rPr>
        <w:t xml:space="preserve">Subrayó que el Hospital General del CMN La Raza cuenta con personal especializado, experiencia y recursos para ofrecer atención integral a niñas, niños y adolescentes con enfermedades complejas. </w:t>
      </w:r>
    </w:p>
    <w:p w14:paraId="7F1DD690" w14:textId="77777777" w:rsidR="5B007A41" w:rsidRDefault="5B007A41" w:rsidP="5B007A41">
      <w:pPr>
        <w:spacing w:line="259" w:lineRule="auto"/>
        <w:jc w:val="both"/>
        <w:rPr>
          <w:rFonts w:ascii="Noto Sans" w:hAnsi="Noto Sans" w:cs="Noto Sans"/>
          <w:sz w:val="20"/>
          <w:szCs w:val="20"/>
        </w:rPr>
      </w:pPr>
    </w:p>
    <w:p w14:paraId="36BD4B2C" w14:textId="77777777" w:rsidR="242F8E8C" w:rsidRDefault="242F8E8C" w:rsidP="5B007A41">
      <w:pPr>
        <w:spacing w:line="259" w:lineRule="auto"/>
        <w:jc w:val="both"/>
      </w:pPr>
      <w:r w:rsidRPr="5B007A41">
        <w:rPr>
          <w:rFonts w:ascii="Noto Sans" w:hAnsi="Noto Sans" w:cs="Noto Sans"/>
          <w:sz w:val="20"/>
          <w:szCs w:val="20"/>
        </w:rPr>
        <w:t>El especialista del Seguro Social añadió que, en lo que va del año, la unidad ha desarrollado más de 49 jornadas quirúrgicas de distintas especialidades, con beneficio para más de dos mil derechohabientes.</w:t>
      </w:r>
    </w:p>
    <w:p w14:paraId="16F9B060" w14:textId="77777777" w:rsidR="5B007A41" w:rsidRDefault="5B007A41" w:rsidP="5B007A41">
      <w:pPr>
        <w:spacing w:line="259" w:lineRule="auto"/>
        <w:jc w:val="both"/>
        <w:rPr>
          <w:rFonts w:ascii="Noto Sans" w:hAnsi="Noto Sans" w:cs="Noto Sans"/>
          <w:sz w:val="20"/>
          <w:szCs w:val="20"/>
        </w:rPr>
      </w:pPr>
    </w:p>
    <w:p w14:paraId="03F0211B" w14:textId="77777777" w:rsidR="242F8E8C" w:rsidRDefault="242F8E8C" w:rsidP="5B007A41">
      <w:pPr>
        <w:spacing w:line="259" w:lineRule="auto"/>
        <w:jc w:val="both"/>
      </w:pPr>
      <w:r w:rsidRPr="5B007A41">
        <w:rPr>
          <w:rFonts w:ascii="Noto Sans" w:hAnsi="Noto Sans" w:cs="Noto Sans"/>
          <w:sz w:val="20"/>
          <w:szCs w:val="20"/>
        </w:rPr>
        <w:t>Indicó que este hospital realiza entre dos mil y dos mil 200 cirugías mensuales, lo que lo posiciona como la UMAE con el mayor volumen de procedimientos quirúrgicos del país.</w:t>
      </w:r>
    </w:p>
    <w:p w14:paraId="2E32AE33" w14:textId="77777777" w:rsidR="5B007A41" w:rsidRDefault="5B007A41" w:rsidP="5B007A41">
      <w:pPr>
        <w:spacing w:line="259" w:lineRule="auto"/>
        <w:jc w:val="both"/>
        <w:rPr>
          <w:rFonts w:ascii="Noto Sans" w:hAnsi="Noto Sans" w:cs="Noto Sans"/>
          <w:sz w:val="20"/>
          <w:szCs w:val="20"/>
        </w:rPr>
      </w:pPr>
    </w:p>
    <w:p w14:paraId="6951A681" w14:textId="77777777" w:rsidR="242F8E8C" w:rsidRDefault="242F8E8C" w:rsidP="5B007A41">
      <w:pPr>
        <w:spacing w:line="259" w:lineRule="auto"/>
        <w:jc w:val="both"/>
      </w:pPr>
      <w:r w:rsidRPr="5B007A41">
        <w:rPr>
          <w:rFonts w:ascii="Noto Sans" w:hAnsi="Noto Sans" w:cs="Noto Sans"/>
          <w:sz w:val="20"/>
          <w:szCs w:val="20"/>
        </w:rPr>
        <w:t>Llamó a madres, padres y personas cuidadoras a solicitar atención médica ante señales de alerta como crecimiento anormal de masas, ganglios persistentes, pérdida de peso sin causa aparente, dolor continuo o aumento del volumen abdominal, ya que la detección y atención tempranas pueden mejorar significativamente el pronóstico de los pacientes.</w:t>
      </w:r>
    </w:p>
    <w:p w14:paraId="7C6D83BE" w14:textId="77777777" w:rsidR="5B007A41" w:rsidRDefault="5B007A41" w:rsidP="5B007A41">
      <w:pPr>
        <w:spacing w:line="259" w:lineRule="auto"/>
        <w:jc w:val="both"/>
        <w:rPr>
          <w:rFonts w:ascii="Noto Sans" w:hAnsi="Noto Sans" w:cs="Noto Sans"/>
          <w:sz w:val="20"/>
          <w:szCs w:val="20"/>
        </w:rPr>
      </w:pPr>
    </w:p>
    <w:p w14:paraId="10640AE9" w14:textId="77777777" w:rsidR="242F8E8C" w:rsidRDefault="242F8E8C" w:rsidP="5B007A41">
      <w:pPr>
        <w:spacing w:line="259" w:lineRule="auto"/>
        <w:jc w:val="both"/>
      </w:pPr>
      <w:r w:rsidRPr="5B007A41">
        <w:rPr>
          <w:rFonts w:ascii="Noto Sans" w:hAnsi="Noto Sans" w:cs="Noto Sans"/>
          <w:sz w:val="20"/>
          <w:szCs w:val="20"/>
        </w:rPr>
        <w:t>“Darles esperanza de devolverles la salud, la capacidad de soñar, de pensar en el futuro y alcanzar sus logros no tiene precio”, expresó el doctor Salvador Cuevas Villegas.</w:t>
      </w:r>
    </w:p>
    <w:p w14:paraId="69033BEC" w14:textId="77777777" w:rsidR="0E6D0E33" w:rsidRDefault="0E6D0E33" w:rsidP="0E6D0E33">
      <w:pPr>
        <w:jc w:val="both"/>
        <w:rPr>
          <w:rFonts w:ascii="Noto Sans" w:hAnsi="Noto Sans" w:cs="Noto Sans"/>
          <w:sz w:val="20"/>
          <w:szCs w:val="20"/>
        </w:rPr>
      </w:pPr>
    </w:p>
    <w:p w14:paraId="3C1EBE2D" w14:textId="77777777" w:rsidR="00117614" w:rsidRDefault="00DC1EEB" w:rsidP="006C50AE">
      <w:pPr>
        <w:jc w:val="center"/>
        <w:rPr>
          <w:rFonts w:ascii="Noto Sans" w:hAnsi="Noto Sans" w:cs="Noto Sans"/>
          <w:b/>
          <w:bCs/>
          <w:sz w:val="20"/>
          <w:szCs w:val="20"/>
        </w:rPr>
      </w:pPr>
      <w:r w:rsidRPr="006A56A9">
        <w:rPr>
          <w:rFonts w:ascii="Noto Sans" w:hAnsi="Noto Sans" w:cs="Noto Sans"/>
          <w:b/>
          <w:bCs/>
          <w:sz w:val="20"/>
          <w:szCs w:val="20"/>
        </w:rPr>
        <w:t>---o0o---</w:t>
      </w:r>
    </w:p>
    <w:p w14:paraId="3A165306" w14:textId="77777777" w:rsidR="008F08DB" w:rsidRDefault="008F08DB" w:rsidP="006C50AE">
      <w:pPr>
        <w:jc w:val="center"/>
        <w:rPr>
          <w:rFonts w:ascii="Noto Sans" w:hAnsi="Noto Sans" w:cs="Noto Sans"/>
          <w:b/>
          <w:bCs/>
          <w:sz w:val="20"/>
          <w:szCs w:val="20"/>
        </w:rPr>
      </w:pPr>
    </w:p>
    <w:p w14:paraId="58398D5E" w14:textId="77777777" w:rsidR="008F08DB" w:rsidRDefault="008F08DB" w:rsidP="008F08DB">
      <w:pPr>
        <w:jc w:val="both"/>
        <w:rPr>
          <w:rFonts w:ascii="Noto Sans" w:hAnsi="Noto Sans" w:cs="Noto Sans"/>
          <w:sz w:val="22"/>
          <w:szCs w:val="22"/>
        </w:rPr>
      </w:pPr>
      <w:proofErr w:type="gramStart"/>
      <w:r w:rsidRPr="008F08DB">
        <w:rPr>
          <w:rFonts w:ascii="Noto Sans" w:hAnsi="Noto Sans" w:cs="Noto Sans"/>
          <w:sz w:val="22"/>
          <w:szCs w:val="22"/>
        </w:rPr>
        <w:t>LINK</w:t>
      </w:r>
      <w:proofErr w:type="gramEnd"/>
      <w:r w:rsidRPr="008F08DB">
        <w:rPr>
          <w:rFonts w:ascii="Noto Sans" w:hAnsi="Noto Sans" w:cs="Noto Sans"/>
          <w:sz w:val="22"/>
          <w:szCs w:val="22"/>
        </w:rPr>
        <w:t xml:space="preserve"> DE FOTOS</w:t>
      </w:r>
    </w:p>
    <w:p w14:paraId="42BF51B4" w14:textId="5BFFA9E1" w:rsidR="008F08DB" w:rsidRDefault="008F08DB" w:rsidP="008F08DB">
      <w:pPr>
        <w:jc w:val="both"/>
        <w:rPr>
          <w:rFonts w:ascii="Noto Sans" w:hAnsi="Noto Sans" w:cs="Noto Sans"/>
          <w:sz w:val="22"/>
          <w:szCs w:val="22"/>
        </w:rPr>
      </w:pPr>
      <w:r w:rsidRPr="008F08DB">
        <w:rPr>
          <w:rFonts w:ascii="Noto Sans" w:hAnsi="Noto Sans" w:cs="Noto Sans"/>
          <w:sz w:val="22"/>
          <w:szCs w:val="22"/>
        </w:rPr>
        <w:t>https://drive.google.com/drive/folders/1ivnG63U_xvH3EfuFAH5qt5dGJ5siqlfz?usp=sharing</w:t>
      </w:r>
      <w:r>
        <w:rPr>
          <w:rFonts w:ascii="Noto Sans" w:hAnsi="Noto Sans" w:cs="Noto Sans"/>
          <w:sz w:val="22"/>
          <w:szCs w:val="22"/>
        </w:rPr>
        <w:t xml:space="preserve">        </w:t>
      </w:r>
    </w:p>
    <w:p w14:paraId="74E92B60" w14:textId="77777777" w:rsidR="008F08DB" w:rsidRPr="008F08DB" w:rsidRDefault="008F08DB" w:rsidP="008F08DB">
      <w:pPr>
        <w:jc w:val="both"/>
        <w:rPr>
          <w:rFonts w:ascii="Noto Sans" w:hAnsi="Noto Sans" w:cs="Noto Sans"/>
          <w:sz w:val="22"/>
          <w:szCs w:val="22"/>
        </w:rPr>
      </w:pPr>
    </w:p>
    <w:p w14:paraId="3031ED2C" w14:textId="67177D6B" w:rsidR="008F08DB" w:rsidRPr="008F08DB" w:rsidRDefault="008F08DB" w:rsidP="008F08DB">
      <w:pPr>
        <w:jc w:val="both"/>
        <w:rPr>
          <w:rFonts w:ascii="Noto Sans" w:hAnsi="Noto Sans" w:cs="Noto Sans"/>
          <w:sz w:val="22"/>
          <w:szCs w:val="22"/>
        </w:rPr>
      </w:pPr>
      <w:proofErr w:type="gramStart"/>
      <w:r w:rsidRPr="008F08DB">
        <w:rPr>
          <w:rFonts w:ascii="Noto Sans" w:hAnsi="Noto Sans" w:cs="Noto Sans"/>
          <w:sz w:val="22"/>
          <w:szCs w:val="22"/>
        </w:rPr>
        <w:t>LINK</w:t>
      </w:r>
      <w:proofErr w:type="gramEnd"/>
      <w:r w:rsidRPr="008F08DB">
        <w:rPr>
          <w:rFonts w:ascii="Noto Sans" w:hAnsi="Noto Sans" w:cs="Noto Sans"/>
          <w:sz w:val="22"/>
          <w:szCs w:val="22"/>
        </w:rPr>
        <w:t xml:space="preserve"> DE VIDEO</w:t>
      </w:r>
    </w:p>
    <w:p w14:paraId="7BC80E97" w14:textId="5E4630A9" w:rsidR="008F08DB" w:rsidRPr="00DC1EEB" w:rsidRDefault="008F08DB" w:rsidP="008F08DB">
      <w:pPr>
        <w:jc w:val="both"/>
        <w:rPr>
          <w:rFonts w:ascii="Noto Sans" w:hAnsi="Noto Sans" w:cs="Noto Sans"/>
          <w:sz w:val="22"/>
          <w:szCs w:val="22"/>
        </w:rPr>
      </w:pPr>
      <w:hyperlink r:id="rId8" w:history="1">
        <w:r w:rsidRPr="008B0979">
          <w:rPr>
            <w:rStyle w:val="Hipervnculo"/>
            <w:rFonts w:ascii="Noto Sans" w:hAnsi="Noto Sans" w:cs="Noto Sans"/>
            <w:sz w:val="22"/>
            <w:szCs w:val="22"/>
          </w:rPr>
          <w:t>https://www.sendgb.com/g6fygmY7wvP</w:t>
        </w:r>
      </w:hyperlink>
      <w:r>
        <w:rPr>
          <w:rFonts w:ascii="Noto Sans" w:hAnsi="Noto Sans" w:cs="Noto Sans"/>
          <w:sz w:val="22"/>
          <w:szCs w:val="22"/>
        </w:rPr>
        <w:t xml:space="preserve"> </w:t>
      </w:r>
    </w:p>
    <w:sectPr w:rsidR="008F08DB" w:rsidRPr="00DC1EEB" w:rsidSect="0016690D">
      <w:headerReference w:type="default" r:id="rId9"/>
      <w:pgSz w:w="12240" w:h="15840" w:code="1"/>
      <w:pgMar w:top="2342" w:right="1134" w:bottom="184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83A00" w14:textId="77777777" w:rsidR="00501C8C" w:rsidRDefault="00501C8C" w:rsidP="00A73D65">
      <w:r>
        <w:separator/>
      </w:r>
    </w:p>
  </w:endnote>
  <w:endnote w:type="continuationSeparator" w:id="0">
    <w:p w14:paraId="7BDDF7FB" w14:textId="77777777" w:rsidR="00501C8C" w:rsidRDefault="00501C8C"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Noto Sans">
    <w:altName w:val="Nirmala UI"/>
    <w:charset w:val="00"/>
    <w:family w:val="swiss"/>
    <w:pitch w:val="variable"/>
    <w:sig w:usb0="E00082FF" w:usb1="400078FF" w:usb2="00000021" w:usb3="00000000" w:csb0="0000019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A72D9" w14:textId="77777777" w:rsidR="00501C8C" w:rsidRDefault="00501C8C" w:rsidP="00A73D65">
      <w:r>
        <w:separator/>
      </w:r>
    </w:p>
  </w:footnote>
  <w:footnote w:type="continuationSeparator" w:id="0">
    <w:p w14:paraId="618E5E37" w14:textId="77777777" w:rsidR="00501C8C" w:rsidRDefault="00501C8C"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7A1ED" w14:textId="77777777" w:rsidR="00A73D65" w:rsidRDefault="00F33C47">
    <w:pPr>
      <w:pStyle w:val="Encabezado"/>
    </w:pPr>
    <w:r>
      <w:rPr>
        <w:noProof/>
      </w:rPr>
      <w:drawing>
        <wp:anchor distT="0" distB="0" distL="114300" distR="114300" simplePos="0" relativeHeight="251658240" behindDoc="1" locked="0" layoutInCell="1" allowOverlap="1" wp14:anchorId="1C3E84EC" wp14:editId="53D1D6EB">
          <wp:simplePos x="0" y="0"/>
          <wp:positionH relativeFrom="column">
            <wp:posOffset>-1080135</wp:posOffset>
          </wp:positionH>
          <wp:positionV relativeFrom="paragraph">
            <wp:posOffset>-441629</wp:posOffset>
          </wp:positionV>
          <wp:extent cx="7800230" cy="10094052"/>
          <wp:effectExtent l="0" t="0" r="0" b="2540"/>
          <wp:wrapNone/>
          <wp:docPr id="16528816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098949" name="Imagen 1752098949"/>
                  <pic:cNvPicPr/>
                </pic:nvPicPr>
                <pic:blipFill>
                  <a:blip r:embed="rId1"/>
                  <a:stretch>
                    <a:fillRect/>
                  </a:stretch>
                </pic:blipFill>
                <pic:spPr>
                  <a:xfrm>
                    <a:off x="0" y="0"/>
                    <a:ext cx="7825859" cy="1012721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F6AAB"/>
    <w:multiLevelType w:val="hybridMultilevel"/>
    <w:tmpl w:val="D270C8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2122701"/>
    <w:multiLevelType w:val="hybridMultilevel"/>
    <w:tmpl w:val="0CE408AC"/>
    <w:lvl w:ilvl="0" w:tplc="080A0001">
      <w:start w:val="1"/>
      <w:numFmt w:val="bullet"/>
      <w:lvlText w:val=""/>
      <w:lvlJc w:val="left"/>
      <w:pPr>
        <w:ind w:left="153" w:hanging="360"/>
      </w:pPr>
      <w:rPr>
        <w:rFonts w:ascii="Symbol" w:hAnsi="Symbol" w:hint="default"/>
      </w:rPr>
    </w:lvl>
    <w:lvl w:ilvl="1" w:tplc="080A0003" w:tentative="1">
      <w:start w:val="1"/>
      <w:numFmt w:val="bullet"/>
      <w:lvlText w:val="o"/>
      <w:lvlJc w:val="left"/>
      <w:pPr>
        <w:ind w:left="873" w:hanging="360"/>
      </w:pPr>
      <w:rPr>
        <w:rFonts w:ascii="Courier New" w:hAnsi="Courier New" w:cs="Courier New" w:hint="default"/>
      </w:rPr>
    </w:lvl>
    <w:lvl w:ilvl="2" w:tplc="080A0005" w:tentative="1">
      <w:start w:val="1"/>
      <w:numFmt w:val="bullet"/>
      <w:lvlText w:val=""/>
      <w:lvlJc w:val="left"/>
      <w:pPr>
        <w:ind w:left="1593" w:hanging="360"/>
      </w:pPr>
      <w:rPr>
        <w:rFonts w:ascii="Wingdings" w:hAnsi="Wingdings" w:hint="default"/>
      </w:rPr>
    </w:lvl>
    <w:lvl w:ilvl="3" w:tplc="080A0001" w:tentative="1">
      <w:start w:val="1"/>
      <w:numFmt w:val="bullet"/>
      <w:lvlText w:val=""/>
      <w:lvlJc w:val="left"/>
      <w:pPr>
        <w:ind w:left="2313" w:hanging="360"/>
      </w:pPr>
      <w:rPr>
        <w:rFonts w:ascii="Symbol" w:hAnsi="Symbol" w:hint="default"/>
      </w:rPr>
    </w:lvl>
    <w:lvl w:ilvl="4" w:tplc="080A0003" w:tentative="1">
      <w:start w:val="1"/>
      <w:numFmt w:val="bullet"/>
      <w:lvlText w:val="o"/>
      <w:lvlJc w:val="left"/>
      <w:pPr>
        <w:ind w:left="3033" w:hanging="360"/>
      </w:pPr>
      <w:rPr>
        <w:rFonts w:ascii="Courier New" w:hAnsi="Courier New" w:cs="Courier New" w:hint="default"/>
      </w:rPr>
    </w:lvl>
    <w:lvl w:ilvl="5" w:tplc="080A0005" w:tentative="1">
      <w:start w:val="1"/>
      <w:numFmt w:val="bullet"/>
      <w:lvlText w:val=""/>
      <w:lvlJc w:val="left"/>
      <w:pPr>
        <w:ind w:left="3753" w:hanging="360"/>
      </w:pPr>
      <w:rPr>
        <w:rFonts w:ascii="Wingdings" w:hAnsi="Wingdings" w:hint="default"/>
      </w:rPr>
    </w:lvl>
    <w:lvl w:ilvl="6" w:tplc="080A0001" w:tentative="1">
      <w:start w:val="1"/>
      <w:numFmt w:val="bullet"/>
      <w:lvlText w:val=""/>
      <w:lvlJc w:val="left"/>
      <w:pPr>
        <w:ind w:left="4473" w:hanging="360"/>
      </w:pPr>
      <w:rPr>
        <w:rFonts w:ascii="Symbol" w:hAnsi="Symbol" w:hint="default"/>
      </w:rPr>
    </w:lvl>
    <w:lvl w:ilvl="7" w:tplc="080A0003" w:tentative="1">
      <w:start w:val="1"/>
      <w:numFmt w:val="bullet"/>
      <w:lvlText w:val="o"/>
      <w:lvlJc w:val="left"/>
      <w:pPr>
        <w:ind w:left="5193" w:hanging="360"/>
      </w:pPr>
      <w:rPr>
        <w:rFonts w:ascii="Courier New" w:hAnsi="Courier New" w:cs="Courier New" w:hint="default"/>
      </w:rPr>
    </w:lvl>
    <w:lvl w:ilvl="8" w:tplc="080A0005" w:tentative="1">
      <w:start w:val="1"/>
      <w:numFmt w:val="bullet"/>
      <w:lvlText w:val=""/>
      <w:lvlJc w:val="left"/>
      <w:pPr>
        <w:ind w:left="5913" w:hanging="360"/>
      </w:pPr>
      <w:rPr>
        <w:rFonts w:ascii="Wingdings" w:hAnsi="Wingdings" w:hint="default"/>
      </w:rPr>
    </w:lvl>
  </w:abstractNum>
  <w:abstractNum w:abstractNumId="2" w15:restartNumberingAfterBreak="0">
    <w:nsid w:val="092E6175"/>
    <w:multiLevelType w:val="hybridMultilevel"/>
    <w:tmpl w:val="2D625C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C391A5E"/>
    <w:multiLevelType w:val="hybridMultilevel"/>
    <w:tmpl w:val="88A0F6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9CD15DF"/>
    <w:multiLevelType w:val="hybridMultilevel"/>
    <w:tmpl w:val="2A54653A"/>
    <w:lvl w:ilvl="0" w:tplc="BF7227DA">
      <w:start w:val="16"/>
      <w:numFmt w:val="bullet"/>
      <w:lvlText w:val=""/>
      <w:lvlJc w:val="left"/>
      <w:pPr>
        <w:ind w:left="-207" w:hanging="360"/>
      </w:pPr>
      <w:rPr>
        <w:rFonts w:ascii="Symbol" w:eastAsiaTheme="minorEastAsia" w:hAnsi="Symbol" w:cs="Noto Sans" w:hint="default"/>
      </w:rPr>
    </w:lvl>
    <w:lvl w:ilvl="1" w:tplc="080A0003" w:tentative="1">
      <w:start w:val="1"/>
      <w:numFmt w:val="bullet"/>
      <w:lvlText w:val="o"/>
      <w:lvlJc w:val="left"/>
      <w:pPr>
        <w:ind w:left="513" w:hanging="360"/>
      </w:pPr>
      <w:rPr>
        <w:rFonts w:ascii="Courier New" w:hAnsi="Courier New" w:cs="Courier New" w:hint="default"/>
      </w:rPr>
    </w:lvl>
    <w:lvl w:ilvl="2" w:tplc="080A0005" w:tentative="1">
      <w:start w:val="1"/>
      <w:numFmt w:val="bullet"/>
      <w:lvlText w:val=""/>
      <w:lvlJc w:val="left"/>
      <w:pPr>
        <w:ind w:left="1233" w:hanging="360"/>
      </w:pPr>
      <w:rPr>
        <w:rFonts w:ascii="Wingdings" w:hAnsi="Wingdings" w:hint="default"/>
      </w:rPr>
    </w:lvl>
    <w:lvl w:ilvl="3" w:tplc="080A0001" w:tentative="1">
      <w:start w:val="1"/>
      <w:numFmt w:val="bullet"/>
      <w:lvlText w:val=""/>
      <w:lvlJc w:val="left"/>
      <w:pPr>
        <w:ind w:left="1953" w:hanging="360"/>
      </w:pPr>
      <w:rPr>
        <w:rFonts w:ascii="Symbol" w:hAnsi="Symbol" w:hint="default"/>
      </w:rPr>
    </w:lvl>
    <w:lvl w:ilvl="4" w:tplc="080A0003" w:tentative="1">
      <w:start w:val="1"/>
      <w:numFmt w:val="bullet"/>
      <w:lvlText w:val="o"/>
      <w:lvlJc w:val="left"/>
      <w:pPr>
        <w:ind w:left="2673" w:hanging="360"/>
      </w:pPr>
      <w:rPr>
        <w:rFonts w:ascii="Courier New" w:hAnsi="Courier New" w:cs="Courier New" w:hint="default"/>
      </w:rPr>
    </w:lvl>
    <w:lvl w:ilvl="5" w:tplc="080A0005" w:tentative="1">
      <w:start w:val="1"/>
      <w:numFmt w:val="bullet"/>
      <w:lvlText w:val=""/>
      <w:lvlJc w:val="left"/>
      <w:pPr>
        <w:ind w:left="3393" w:hanging="360"/>
      </w:pPr>
      <w:rPr>
        <w:rFonts w:ascii="Wingdings" w:hAnsi="Wingdings" w:hint="default"/>
      </w:rPr>
    </w:lvl>
    <w:lvl w:ilvl="6" w:tplc="080A0001" w:tentative="1">
      <w:start w:val="1"/>
      <w:numFmt w:val="bullet"/>
      <w:lvlText w:val=""/>
      <w:lvlJc w:val="left"/>
      <w:pPr>
        <w:ind w:left="4113" w:hanging="360"/>
      </w:pPr>
      <w:rPr>
        <w:rFonts w:ascii="Symbol" w:hAnsi="Symbol" w:hint="default"/>
      </w:rPr>
    </w:lvl>
    <w:lvl w:ilvl="7" w:tplc="080A0003" w:tentative="1">
      <w:start w:val="1"/>
      <w:numFmt w:val="bullet"/>
      <w:lvlText w:val="o"/>
      <w:lvlJc w:val="left"/>
      <w:pPr>
        <w:ind w:left="4833" w:hanging="360"/>
      </w:pPr>
      <w:rPr>
        <w:rFonts w:ascii="Courier New" w:hAnsi="Courier New" w:cs="Courier New" w:hint="default"/>
      </w:rPr>
    </w:lvl>
    <w:lvl w:ilvl="8" w:tplc="080A0005" w:tentative="1">
      <w:start w:val="1"/>
      <w:numFmt w:val="bullet"/>
      <w:lvlText w:val=""/>
      <w:lvlJc w:val="left"/>
      <w:pPr>
        <w:ind w:left="5553" w:hanging="360"/>
      </w:pPr>
      <w:rPr>
        <w:rFonts w:ascii="Wingdings" w:hAnsi="Wingdings" w:hint="default"/>
      </w:rPr>
    </w:lvl>
  </w:abstractNum>
  <w:abstractNum w:abstractNumId="5" w15:restartNumberingAfterBreak="0">
    <w:nsid w:val="1D6F6B14"/>
    <w:multiLevelType w:val="hybridMultilevel"/>
    <w:tmpl w:val="3B56D7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BA17AF2"/>
    <w:multiLevelType w:val="hybridMultilevel"/>
    <w:tmpl w:val="257A27A2"/>
    <w:lvl w:ilvl="0" w:tplc="1E6EE61A">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91A6740"/>
    <w:multiLevelType w:val="hybridMultilevel"/>
    <w:tmpl w:val="AA96CF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40344A2C"/>
    <w:multiLevelType w:val="hybridMultilevel"/>
    <w:tmpl w:val="73608E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48BE5FFF"/>
    <w:multiLevelType w:val="hybridMultilevel"/>
    <w:tmpl w:val="F38E59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A096D45"/>
    <w:multiLevelType w:val="hybridMultilevel"/>
    <w:tmpl w:val="8CECE0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5E232894"/>
    <w:multiLevelType w:val="hybridMultilevel"/>
    <w:tmpl w:val="EBBC34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619A0F3D"/>
    <w:multiLevelType w:val="hybridMultilevel"/>
    <w:tmpl w:val="8E9215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63E77222"/>
    <w:multiLevelType w:val="hybridMultilevel"/>
    <w:tmpl w:val="AF4EB9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70141030"/>
    <w:multiLevelType w:val="hybridMultilevel"/>
    <w:tmpl w:val="79064E3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749236868">
    <w:abstractNumId w:val="1"/>
  </w:num>
  <w:num w:numId="2" w16cid:durableId="1972592812">
    <w:abstractNumId w:val="4"/>
  </w:num>
  <w:num w:numId="3" w16cid:durableId="1684747001">
    <w:abstractNumId w:val="9"/>
  </w:num>
  <w:num w:numId="4" w16cid:durableId="450709684">
    <w:abstractNumId w:val="11"/>
  </w:num>
  <w:num w:numId="5" w16cid:durableId="235631270">
    <w:abstractNumId w:val="5"/>
  </w:num>
  <w:num w:numId="6" w16cid:durableId="930115776">
    <w:abstractNumId w:val="10"/>
  </w:num>
  <w:num w:numId="7" w16cid:durableId="860776471">
    <w:abstractNumId w:val="3"/>
  </w:num>
  <w:num w:numId="8" w16cid:durableId="1326981075">
    <w:abstractNumId w:val="6"/>
  </w:num>
  <w:num w:numId="9" w16cid:durableId="314263890">
    <w:abstractNumId w:val="2"/>
  </w:num>
  <w:num w:numId="10" w16cid:durableId="1605113382">
    <w:abstractNumId w:val="14"/>
  </w:num>
  <w:num w:numId="11" w16cid:durableId="373893821">
    <w:abstractNumId w:val="8"/>
  </w:num>
  <w:num w:numId="12" w16cid:durableId="848906807">
    <w:abstractNumId w:val="12"/>
  </w:num>
  <w:num w:numId="13" w16cid:durableId="682173828">
    <w:abstractNumId w:val="0"/>
  </w:num>
  <w:num w:numId="14" w16cid:durableId="822041471">
    <w:abstractNumId w:val="13"/>
  </w:num>
  <w:num w:numId="15" w16cid:durableId="20564629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7681"/>
    <w:rsid w:val="00025883"/>
    <w:rsid w:val="00054FDD"/>
    <w:rsid w:val="0006063B"/>
    <w:rsid w:val="000A09C1"/>
    <w:rsid w:val="000A408C"/>
    <w:rsid w:val="000D799D"/>
    <w:rsid w:val="000E5D1C"/>
    <w:rsid w:val="0010552A"/>
    <w:rsid w:val="00117614"/>
    <w:rsid w:val="00132439"/>
    <w:rsid w:val="00156A3E"/>
    <w:rsid w:val="00161740"/>
    <w:rsid w:val="0016179D"/>
    <w:rsid w:val="0016690D"/>
    <w:rsid w:val="00180A38"/>
    <w:rsid w:val="00181F68"/>
    <w:rsid w:val="00184325"/>
    <w:rsid w:val="00193939"/>
    <w:rsid w:val="001F5A42"/>
    <w:rsid w:val="001F6AC7"/>
    <w:rsid w:val="00202D55"/>
    <w:rsid w:val="00256B1D"/>
    <w:rsid w:val="0029542D"/>
    <w:rsid w:val="002A0DB3"/>
    <w:rsid w:val="002A3FAC"/>
    <w:rsid w:val="002C4919"/>
    <w:rsid w:val="002D5F5C"/>
    <w:rsid w:val="002E2142"/>
    <w:rsid w:val="0030476A"/>
    <w:rsid w:val="003215CC"/>
    <w:rsid w:val="00330DC8"/>
    <w:rsid w:val="00334CB4"/>
    <w:rsid w:val="0034181C"/>
    <w:rsid w:val="00362137"/>
    <w:rsid w:val="00363222"/>
    <w:rsid w:val="00370465"/>
    <w:rsid w:val="003A034A"/>
    <w:rsid w:val="003B5873"/>
    <w:rsid w:val="003D416E"/>
    <w:rsid w:val="003E1335"/>
    <w:rsid w:val="00410675"/>
    <w:rsid w:val="004341BC"/>
    <w:rsid w:val="00445067"/>
    <w:rsid w:val="00477F45"/>
    <w:rsid w:val="004A1314"/>
    <w:rsid w:val="004A2714"/>
    <w:rsid w:val="004A4C4E"/>
    <w:rsid w:val="004C19FF"/>
    <w:rsid w:val="004D131F"/>
    <w:rsid w:val="004D146C"/>
    <w:rsid w:val="004E0D31"/>
    <w:rsid w:val="00501363"/>
    <w:rsid w:val="00501C8C"/>
    <w:rsid w:val="005027AF"/>
    <w:rsid w:val="00516828"/>
    <w:rsid w:val="00540200"/>
    <w:rsid w:val="00552C76"/>
    <w:rsid w:val="00576156"/>
    <w:rsid w:val="005926DA"/>
    <w:rsid w:val="005933D8"/>
    <w:rsid w:val="005C1A7C"/>
    <w:rsid w:val="005C3090"/>
    <w:rsid w:val="005C7CAD"/>
    <w:rsid w:val="0060554E"/>
    <w:rsid w:val="00620A18"/>
    <w:rsid w:val="0062232F"/>
    <w:rsid w:val="00623CE1"/>
    <w:rsid w:val="00625F2E"/>
    <w:rsid w:val="00626EE3"/>
    <w:rsid w:val="00631824"/>
    <w:rsid w:val="006322C1"/>
    <w:rsid w:val="0068344B"/>
    <w:rsid w:val="006A3D09"/>
    <w:rsid w:val="006A56A9"/>
    <w:rsid w:val="006A5AF1"/>
    <w:rsid w:val="006B6534"/>
    <w:rsid w:val="006C0425"/>
    <w:rsid w:val="006C3B4E"/>
    <w:rsid w:val="006C50AE"/>
    <w:rsid w:val="007009FE"/>
    <w:rsid w:val="007402B0"/>
    <w:rsid w:val="007421E3"/>
    <w:rsid w:val="00746426"/>
    <w:rsid w:val="007504BE"/>
    <w:rsid w:val="00765ED5"/>
    <w:rsid w:val="0078195E"/>
    <w:rsid w:val="00787E5C"/>
    <w:rsid w:val="007B74AD"/>
    <w:rsid w:val="007C0654"/>
    <w:rsid w:val="007D77D1"/>
    <w:rsid w:val="007E5888"/>
    <w:rsid w:val="007F1DB3"/>
    <w:rsid w:val="007F5E00"/>
    <w:rsid w:val="008319BF"/>
    <w:rsid w:val="00831EE7"/>
    <w:rsid w:val="00834146"/>
    <w:rsid w:val="00840B75"/>
    <w:rsid w:val="0085369D"/>
    <w:rsid w:val="00882489"/>
    <w:rsid w:val="00883EF8"/>
    <w:rsid w:val="008D7B84"/>
    <w:rsid w:val="008F08DB"/>
    <w:rsid w:val="0090412A"/>
    <w:rsid w:val="009066A7"/>
    <w:rsid w:val="009068C0"/>
    <w:rsid w:val="00907F1C"/>
    <w:rsid w:val="009206EB"/>
    <w:rsid w:val="00932C27"/>
    <w:rsid w:val="00937C98"/>
    <w:rsid w:val="00942415"/>
    <w:rsid w:val="00942628"/>
    <w:rsid w:val="00952AFA"/>
    <w:rsid w:val="0096361F"/>
    <w:rsid w:val="009C12D6"/>
    <w:rsid w:val="009E768C"/>
    <w:rsid w:val="009F2BA1"/>
    <w:rsid w:val="00A07674"/>
    <w:rsid w:val="00A301D7"/>
    <w:rsid w:val="00A645F7"/>
    <w:rsid w:val="00A7141D"/>
    <w:rsid w:val="00A73D65"/>
    <w:rsid w:val="00AC3356"/>
    <w:rsid w:val="00AE6A49"/>
    <w:rsid w:val="00B1309D"/>
    <w:rsid w:val="00B34B41"/>
    <w:rsid w:val="00B3608B"/>
    <w:rsid w:val="00B72D65"/>
    <w:rsid w:val="00B87C85"/>
    <w:rsid w:val="00BB21A6"/>
    <w:rsid w:val="00BB2DFF"/>
    <w:rsid w:val="00BC43BD"/>
    <w:rsid w:val="00BC7208"/>
    <w:rsid w:val="00BE6D84"/>
    <w:rsid w:val="00BF29F6"/>
    <w:rsid w:val="00BF6C83"/>
    <w:rsid w:val="00C02E98"/>
    <w:rsid w:val="00C13382"/>
    <w:rsid w:val="00C23B9E"/>
    <w:rsid w:val="00C279A3"/>
    <w:rsid w:val="00C30849"/>
    <w:rsid w:val="00C465FE"/>
    <w:rsid w:val="00C67047"/>
    <w:rsid w:val="00C90CED"/>
    <w:rsid w:val="00C93AFD"/>
    <w:rsid w:val="00CA497D"/>
    <w:rsid w:val="00CB1917"/>
    <w:rsid w:val="00CB4E79"/>
    <w:rsid w:val="00CB7D4F"/>
    <w:rsid w:val="00CD310D"/>
    <w:rsid w:val="00CE3E99"/>
    <w:rsid w:val="00D1354D"/>
    <w:rsid w:val="00D17C3C"/>
    <w:rsid w:val="00D36EAD"/>
    <w:rsid w:val="00D370A9"/>
    <w:rsid w:val="00D54A12"/>
    <w:rsid w:val="00D62AA0"/>
    <w:rsid w:val="00D84E05"/>
    <w:rsid w:val="00D95C69"/>
    <w:rsid w:val="00DA037A"/>
    <w:rsid w:val="00DA1B19"/>
    <w:rsid w:val="00DA5527"/>
    <w:rsid w:val="00DB29C6"/>
    <w:rsid w:val="00DB53A4"/>
    <w:rsid w:val="00DC1EEB"/>
    <w:rsid w:val="00DF7259"/>
    <w:rsid w:val="00E1044C"/>
    <w:rsid w:val="00E155A4"/>
    <w:rsid w:val="00E3458D"/>
    <w:rsid w:val="00E63ADB"/>
    <w:rsid w:val="00E71C54"/>
    <w:rsid w:val="00E93867"/>
    <w:rsid w:val="00EB407F"/>
    <w:rsid w:val="00EB6FAE"/>
    <w:rsid w:val="00ED2E59"/>
    <w:rsid w:val="00EE053F"/>
    <w:rsid w:val="00EE6B41"/>
    <w:rsid w:val="00F0537A"/>
    <w:rsid w:val="00F14137"/>
    <w:rsid w:val="00F20D0C"/>
    <w:rsid w:val="00F24915"/>
    <w:rsid w:val="00F33C47"/>
    <w:rsid w:val="00F401F9"/>
    <w:rsid w:val="00F7439A"/>
    <w:rsid w:val="00F745B2"/>
    <w:rsid w:val="00F92AE5"/>
    <w:rsid w:val="00F945F2"/>
    <w:rsid w:val="00FA1218"/>
    <w:rsid w:val="00FA3BAB"/>
    <w:rsid w:val="00FC0440"/>
    <w:rsid w:val="00FD60A5"/>
    <w:rsid w:val="00FD754F"/>
    <w:rsid w:val="00FD75E1"/>
    <w:rsid w:val="00FE2ADE"/>
    <w:rsid w:val="00FF06FA"/>
    <w:rsid w:val="01E9E872"/>
    <w:rsid w:val="08CA14BD"/>
    <w:rsid w:val="09FE5B95"/>
    <w:rsid w:val="0A531B2B"/>
    <w:rsid w:val="0E6D0E33"/>
    <w:rsid w:val="18BDDA67"/>
    <w:rsid w:val="1925E97A"/>
    <w:rsid w:val="1A0DF231"/>
    <w:rsid w:val="1C1B4C4C"/>
    <w:rsid w:val="1D62A1DE"/>
    <w:rsid w:val="1E3DAF35"/>
    <w:rsid w:val="1E90B23E"/>
    <w:rsid w:val="22396872"/>
    <w:rsid w:val="242F8E8C"/>
    <w:rsid w:val="262F55F3"/>
    <w:rsid w:val="2E57D653"/>
    <w:rsid w:val="3097D065"/>
    <w:rsid w:val="34EA23A7"/>
    <w:rsid w:val="361D7FE6"/>
    <w:rsid w:val="386E9515"/>
    <w:rsid w:val="3B5944F1"/>
    <w:rsid w:val="3B60930F"/>
    <w:rsid w:val="3E5C1E24"/>
    <w:rsid w:val="3EBF2E98"/>
    <w:rsid w:val="42737410"/>
    <w:rsid w:val="428C3C5B"/>
    <w:rsid w:val="4348C011"/>
    <w:rsid w:val="4467F42B"/>
    <w:rsid w:val="464E780D"/>
    <w:rsid w:val="479550EF"/>
    <w:rsid w:val="47CF76C8"/>
    <w:rsid w:val="4887D61B"/>
    <w:rsid w:val="4A54C7BC"/>
    <w:rsid w:val="4EFFD7A5"/>
    <w:rsid w:val="50281A18"/>
    <w:rsid w:val="53381FF4"/>
    <w:rsid w:val="553B2295"/>
    <w:rsid w:val="5B007A41"/>
    <w:rsid w:val="5CCC2275"/>
    <w:rsid w:val="61856A0A"/>
    <w:rsid w:val="62578C8A"/>
    <w:rsid w:val="6301C787"/>
    <w:rsid w:val="6630073A"/>
    <w:rsid w:val="6766329F"/>
    <w:rsid w:val="67C45BFB"/>
    <w:rsid w:val="687EFA34"/>
    <w:rsid w:val="69C64304"/>
    <w:rsid w:val="79196D9F"/>
    <w:rsid w:val="7CE58E11"/>
    <w:rsid w:val="7E0D25E5"/>
  </w:rsids>
  <m:mathPr>
    <m:mathFont m:val="Cambria Math"/>
    <m:brkBin m:val="before"/>
    <m:brkBinSub m:val="--"/>
    <m:smallFrac m:val="0"/>
    <m:dispDef/>
    <m:lMargin m:val="0"/>
    <m:rMargin m:val="0"/>
    <m:defJc m:val="centerGroup"/>
    <m:wrapIndent m:val="1440"/>
    <m:intLim m:val="subSup"/>
    <m:naryLim m:val="undOvr"/>
  </m:mathPr>
  <w:themeFontLang w:val="es-MX"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1E3FA62"/>
  <w15:docId w15:val="{E4FF0DE6-BAAF-4C2B-9656-246AD5444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semiHidden/>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1B19"/>
    <w:rPr>
      <w:rFonts w:ascii="Times New Roman" w:eastAsiaTheme="minorEastAsia" w:hAnsi="Times New Roman" w:cs="Times New Roman"/>
      <w:sz w:val="18"/>
      <w:szCs w:val="18"/>
      <w:lang w:val="es-ES"/>
    </w:rPr>
  </w:style>
  <w:style w:type="paragraph" w:styleId="Prrafodelista">
    <w:name w:val="List Paragraph"/>
    <w:basedOn w:val="Normal"/>
    <w:uiPriority w:val="34"/>
    <w:qFormat/>
    <w:rsid w:val="00DC1EEB"/>
    <w:pPr>
      <w:ind w:left="720"/>
      <w:contextualSpacing/>
    </w:pPr>
  </w:style>
  <w:style w:type="paragraph" w:styleId="Revisin">
    <w:name w:val="Revision"/>
    <w:hidden/>
    <w:uiPriority w:val="99"/>
    <w:semiHidden/>
    <w:rsid w:val="009E768C"/>
    <w:rPr>
      <w:rFonts w:eastAsiaTheme="minorEastAsia"/>
      <w:lang w:val="es-ES"/>
    </w:rPr>
  </w:style>
  <w:style w:type="character" w:styleId="Hipervnculo">
    <w:name w:val="Hyperlink"/>
    <w:basedOn w:val="Fuentedeprrafopredeter"/>
    <w:uiPriority w:val="99"/>
    <w:unhideWhenUsed/>
    <w:rsid w:val="00552C76"/>
    <w:rPr>
      <w:color w:val="0563C1" w:themeColor="hyperlink"/>
      <w:u w:val="single"/>
    </w:rPr>
  </w:style>
  <w:style w:type="character" w:styleId="Mencinsinresolver">
    <w:name w:val="Unresolved Mention"/>
    <w:basedOn w:val="Fuentedeprrafopredeter"/>
    <w:uiPriority w:val="99"/>
    <w:semiHidden/>
    <w:unhideWhenUsed/>
    <w:rsid w:val="00552C76"/>
    <w:rPr>
      <w:color w:val="605E5C"/>
      <w:shd w:val="clear" w:color="auto" w:fill="E1DFDD"/>
    </w:rPr>
  </w:style>
  <w:style w:type="character" w:styleId="Hipervnculovisitado">
    <w:name w:val="FollowedHyperlink"/>
    <w:basedOn w:val="Fuentedeprrafopredeter"/>
    <w:uiPriority w:val="99"/>
    <w:semiHidden/>
    <w:unhideWhenUsed/>
    <w:rsid w:val="00A645F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ndgb.com/g6fygmY7wv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563C89-5FF7-904F-B0BB-151A6EC32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438</Words>
  <Characters>2410</Characters>
  <Application>Microsoft Office Word</Application>
  <DocSecurity>0</DocSecurity>
  <Lines>20</Lines>
  <Paragraphs>5</Paragraphs>
  <ScaleCrop>false</ScaleCrop>
  <Company/>
  <LinksUpToDate>false</LinksUpToDate>
  <CharactersWithSpaces>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LR</dc:creator>
  <cp:keywords/>
  <dc:description/>
  <cp:lastModifiedBy>Luz Maria Rico Jardon</cp:lastModifiedBy>
  <cp:revision>2</cp:revision>
  <cp:lastPrinted>2024-10-03T14:20:00Z</cp:lastPrinted>
  <dcterms:created xsi:type="dcterms:W3CDTF">2026-10-26T18:07:00Z</dcterms:created>
  <dcterms:modified xsi:type="dcterms:W3CDTF">2026-10-26T18:07:00Z</dcterms:modified>
</cp:coreProperties>
</file>