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52C182" w14:textId="61E23B2F" w:rsidR="0030476A" w:rsidRPr="000A408C" w:rsidRDefault="004A2714" w:rsidP="003A034A">
      <w:pPr>
        <w:jc w:val="both"/>
        <w:rPr>
          <w:rFonts w:ascii="Noto Sans" w:hAnsi="Noto Sans" w:cs="Noto Sans"/>
          <w:sz w:val="19"/>
          <w:szCs w:val="19"/>
          <w:lang w:val="es-MX"/>
        </w:rPr>
      </w:pPr>
      <w:r w:rsidRPr="00DA1B19">
        <w:rPr>
          <w:rFonts w:ascii="Geomanist" w:hAnsi="Geomanist"/>
          <w:noProof/>
          <w:sz w:val="21"/>
          <w:szCs w:val="21"/>
          <w:lang w:val="es-MX" w:eastAsia="es-MX"/>
        </w:rPr>
        <mc:AlternateContent>
          <mc:Choice Requires="wps">
            <w:drawing>
              <wp:anchor distT="0" distB="0" distL="114300" distR="114300" simplePos="0" relativeHeight="251660288" behindDoc="0" locked="0" layoutInCell="1" allowOverlap="1" wp14:anchorId="1A4F6F4B" wp14:editId="1D95094E">
                <wp:simplePos x="0" y="0"/>
                <wp:positionH relativeFrom="column">
                  <wp:posOffset>2374265</wp:posOffset>
                </wp:positionH>
                <wp:positionV relativeFrom="paragraph">
                  <wp:posOffset>0</wp:posOffset>
                </wp:positionV>
                <wp:extent cx="3845560" cy="638175"/>
                <wp:effectExtent l="0" t="0" r="2540" b="9525"/>
                <wp:wrapSquare wrapText="bothSides"/>
                <wp:docPr id="3" name="Text Box 2"/>
                <wp:cNvGraphicFramePr/>
                <a:graphic xmlns:a="http://schemas.openxmlformats.org/drawingml/2006/main">
                  <a:graphicData uri="http://schemas.microsoft.com/office/word/2010/wordprocessingShape">
                    <wps:wsp>
                      <wps:cNvSpPr txBox="1"/>
                      <wps:spPr>
                        <a:xfrm>
                          <a:off x="0" y="0"/>
                          <a:ext cx="3845560" cy="638175"/>
                        </a:xfrm>
                        <a:prstGeom prst="rect">
                          <a:avLst/>
                        </a:prstGeom>
                        <a:noFill/>
                        <a:ln>
                          <a:noFill/>
                        </a:ln>
                        <a:effectLst/>
                        <a:extLst>
                          <a:ext uri="{C572A759-6A51-4108-AA02-DFA0A04FC94B}">
                            <ma14:wrappingTextBox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15F3261" w14:textId="5B72523F" w:rsidR="00DA1B19" w:rsidRPr="004A2714" w:rsidRDefault="004A2714" w:rsidP="004A2714">
                            <w:pPr>
                              <w:spacing w:before="120" w:after="40" w:line="220" w:lineRule="exact"/>
                              <w:jc w:val="right"/>
                              <w:rPr>
                                <w:rFonts w:ascii="Noto Sans" w:hAnsi="Noto Sans" w:cs="Noto Sans"/>
                                <w:color w:val="BA8C54"/>
                                <w:sz w:val="28"/>
                                <w:szCs w:val="28"/>
                              </w:rPr>
                            </w:pPr>
                            <w:r w:rsidRPr="004A2714">
                              <w:rPr>
                                <w:rFonts w:ascii="Noto Sans" w:hAnsi="Noto Sans" w:cs="Noto Sans"/>
                                <w:color w:val="BA8C54"/>
                                <w:sz w:val="28"/>
                                <w:szCs w:val="28"/>
                              </w:rPr>
                              <w:t>BOLETÍN DE PRENSA</w:t>
                            </w:r>
                          </w:p>
                          <w:p w14:paraId="5C1C7F70" w14:textId="7745CBCF" w:rsidR="00DA1B19" w:rsidRDefault="008238D3" w:rsidP="004A2714">
                            <w:pPr>
                              <w:spacing w:before="120" w:after="40" w:line="220" w:lineRule="exact"/>
                              <w:jc w:val="right"/>
                              <w:rPr>
                                <w:rFonts w:ascii="Noto Sans" w:hAnsi="Noto Sans" w:cs="Noto Sans"/>
                                <w:sz w:val="20"/>
                                <w:szCs w:val="20"/>
                              </w:rPr>
                            </w:pPr>
                            <w:r>
                              <w:rPr>
                                <w:rFonts w:ascii="Noto Sans" w:eastAsia="Montserrat Medium" w:hAnsi="Noto Sans" w:cs="Noto Sans"/>
                                <w:sz w:val="20"/>
                                <w:szCs w:val="20"/>
                              </w:rPr>
                              <w:t>Ciudad de México</w:t>
                            </w:r>
                            <w:r w:rsidR="00DA1B19" w:rsidRPr="004E0D31">
                              <w:rPr>
                                <w:rFonts w:ascii="Noto Sans" w:eastAsia="Montserrat Medium" w:hAnsi="Noto Sans" w:cs="Noto Sans"/>
                                <w:sz w:val="20"/>
                                <w:szCs w:val="20"/>
                              </w:rPr>
                              <w:t xml:space="preserve">, </w:t>
                            </w:r>
                            <w:r w:rsidR="00A45DF5">
                              <w:rPr>
                                <w:rFonts w:ascii="Noto Sans" w:eastAsia="Montserrat Medium" w:hAnsi="Noto Sans" w:cs="Noto Sans"/>
                                <w:sz w:val="20"/>
                                <w:szCs w:val="20"/>
                              </w:rPr>
                              <w:t xml:space="preserve">lunes 05 </w:t>
                            </w:r>
                            <w:r w:rsidR="00DA1B19" w:rsidRPr="004E0D31">
                              <w:rPr>
                                <w:rFonts w:ascii="Noto Sans" w:eastAsia="Montserrat Medium" w:hAnsi="Noto Sans" w:cs="Noto Sans"/>
                                <w:sz w:val="20"/>
                                <w:szCs w:val="20"/>
                              </w:rPr>
                              <w:t xml:space="preserve">de </w:t>
                            </w:r>
                            <w:r w:rsidR="00B83FF3">
                              <w:rPr>
                                <w:rFonts w:ascii="Noto Sans" w:eastAsia="Montserrat Medium" w:hAnsi="Noto Sans" w:cs="Noto Sans"/>
                                <w:sz w:val="20"/>
                                <w:szCs w:val="20"/>
                              </w:rPr>
                              <w:t>octubre</w:t>
                            </w:r>
                            <w:r w:rsidR="008E2FA3">
                              <w:rPr>
                                <w:rFonts w:ascii="Noto Sans" w:eastAsia="Montserrat Medium" w:hAnsi="Noto Sans" w:cs="Noto Sans"/>
                                <w:sz w:val="20"/>
                                <w:szCs w:val="20"/>
                              </w:rPr>
                              <w:t xml:space="preserve"> </w:t>
                            </w:r>
                            <w:r w:rsidR="00DA1B19" w:rsidRPr="004E0D31">
                              <w:rPr>
                                <w:rFonts w:ascii="Noto Sans" w:eastAsia="Montserrat Medium" w:hAnsi="Noto Sans" w:cs="Noto Sans"/>
                                <w:sz w:val="20"/>
                                <w:szCs w:val="20"/>
                              </w:rPr>
                              <w:t>de 202</w:t>
                            </w:r>
                            <w:r w:rsidR="00F33C47">
                              <w:rPr>
                                <w:rFonts w:ascii="Noto Sans" w:eastAsia="Montserrat Medium" w:hAnsi="Noto Sans" w:cs="Noto Sans"/>
                                <w:sz w:val="20"/>
                                <w:szCs w:val="20"/>
                              </w:rPr>
                              <w:t>6</w:t>
                            </w:r>
                            <w:r w:rsidR="00DA1B19" w:rsidRPr="004E0D31">
                              <w:rPr>
                                <w:rFonts w:ascii="Noto Sans" w:hAnsi="Noto Sans" w:cs="Noto Sans"/>
                                <w:sz w:val="20"/>
                                <w:szCs w:val="20"/>
                              </w:rPr>
                              <w:t xml:space="preserve"> </w:t>
                            </w:r>
                          </w:p>
                          <w:p w14:paraId="64CA408B" w14:textId="02F51B31" w:rsidR="00B639F3" w:rsidRPr="004E0D31" w:rsidRDefault="00B639F3" w:rsidP="004A2714">
                            <w:pPr>
                              <w:spacing w:before="120" w:after="40" w:line="220" w:lineRule="exact"/>
                              <w:jc w:val="right"/>
                              <w:rPr>
                                <w:rFonts w:ascii="Noto Sans" w:hAnsi="Noto Sans" w:cs="Noto Sans"/>
                                <w:sz w:val="20"/>
                                <w:szCs w:val="20"/>
                              </w:rPr>
                            </w:pPr>
                            <w:r>
                              <w:rPr>
                                <w:rFonts w:ascii="Noto Sans" w:hAnsi="Noto Sans" w:cs="Noto Sans"/>
                                <w:sz w:val="20"/>
                                <w:szCs w:val="20"/>
                              </w:rPr>
                              <w:t xml:space="preserve">No. </w:t>
                            </w:r>
                            <w:r w:rsidR="00A45DF5">
                              <w:rPr>
                                <w:rFonts w:ascii="Noto Sans" w:hAnsi="Noto Sans" w:cs="Noto Sans"/>
                                <w:sz w:val="20"/>
                                <w:szCs w:val="20"/>
                              </w:rPr>
                              <w:t>534</w:t>
                            </w:r>
                            <w:r>
                              <w:rPr>
                                <w:rFonts w:ascii="Noto Sans" w:hAnsi="Noto Sans" w:cs="Noto Sans"/>
                                <w:sz w:val="20"/>
                                <w:szCs w:val="20"/>
                              </w:rPr>
                              <w:t>/202</w:t>
                            </w:r>
                            <w:r w:rsidR="00A10CC4">
                              <w:rPr>
                                <w:rFonts w:ascii="Noto Sans" w:hAnsi="Noto Sans" w:cs="Noto Sans"/>
                                <w:sz w:val="20"/>
                                <w:szCs w:val="20"/>
                              </w:rPr>
                              <w:t>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4F6F4B" id="_x0000_t202" coordsize="21600,21600" o:spt="202" path="m,l,21600r21600,l21600,xe">
                <v:stroke joinstyle="miter"/>
                <v:path gradientshapeok="t" o:connecttype="rect"/>
              </v:shapetype>
              <v:shape id="Text Box 2" o:spid="_x0000_s1026" type="#_x0000_t202" style="position:absolute;left:0;text-align:left;margin-left:186.95pt;margin-top:0;width:302.8pt;height:50.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" filled="f" stroked="f">
                <v:textbox inset="0,0,0,0">
                  <w:txbxContent>
                    <w:p w14:paraId="215F3261" w14:textId="5B72523F" w:rsidR="00DA1B19" w:rsidRPr="004A2714" w:rsidRDefault="004A2714" w:rsidP="004A2714">
                      <w:pPr>
                        <w:spacing w:before="120" w:after="40" w:line="220" w:lineRule="exact"/>
                        <w:jc w:val="right"/>
                        <w:rPr>
                          <w:rFonts w:ascii="Noto Sans" w:hAnsi="Noto Sans" w:cs="Noto Sans"/>
                          <w:color w:val="BA8C54"/>
                          <w:sz w:val="28"/>
                          <w:szCs w:val="28"/>
                        </w:rPr>
                      </w:pPr>
                      <w:r w:rsidRPr="004A2714">
                        <w:rPr>
                          <w:rFonts w:ascii="Noto Sans" w:hAnsi="Noto Sans" w:cs="Noto Sans"/>
                          <w:color w:val="BA8C54"/>
                          <w:sz w:val="28"/>
                          <w:szCs w:val="28"/>
                        </w:rPr>
                        <w:t>BOLETÍN DE PRENSA</w:t>
                      </w:r>
                    </w:p>
                    <w:p w14:paraId="5C1C7F70" w14:textId="7745CBCF" w:rsidR="00DA1B19" w:rsidRDefault="008238D3" w:rsidP="004A2714">
                      <w:pPr>
                        <w:spacing w:before="120" w:after="40" w:line="220" w:lineRule="exact"/>
                        <w:jc w:val="right"/>
                        <w:rPr>
                          <w:rFonts w:ascii="Noto Sans" w:hAnsi="Noto Sans" w:cs="Noto Sans"/>
                          <w:sz w:val="20"/>
                          <w:szCs w:val="20"/>
                        </w:rPr>
                      </w:pPr>
                      <w:r>
                        <w:rPr>
                          <w:rFonts w:ascii="Noto Sans" w:eastAsia="Montserrat Medium" w:hAnsi="Noto Sans" w:cs="Noto Sans"/>
                          <w:sz w:val="20"/>
                          <w:szCs w:val="20"/>
                        </w:rPr>
                        <w:t>Ciudad de México</w:t>
                      </w:r>
                      <w:r w:rsidR="00DA1B19" w:rsidRPr="004E0D31">
                        <w:rPr>
                          <w:rFonts w:ascii="Noto Sans" w:eastAsia="Montserrat Medium" w:hAnsi="Noto Sans" w:cs="Noto Sans"/>
                          <w:sz w:val="20"/>
                          <w:szCs w:val="20"/>
                        </w:rPr>
                        <w:t xml:space="preserve">, </w:t>
                      </w:r>
                      <w:r w:rsidR="00A45DF5">
                        <w:rPr>
                          <w:rFonts w:ascii="Noto Sans" w:eastAsia="Montserrat Medium" w:hAnsi="Noto Sans" w:cs="Noto Sans"/>
                          <w:sz w:val="20"/>
                          <w:szCs w:val="20"/>
                        </w:rPr>
                        <w:t xml:space="preserve">lunes 05 </w:t>
                      </w:r>
                      <w:r w:rsidR="00DA1B19" w:rsidRPr="004E0D31">
                        <w:rPr>
                          <w:rFonts w:ascii="Noto Sans" w:eastAsia="Montserrat Medium" w:hAnsi="Noto Sans" w:cs="Noto Sans"/>
                          <w:sz w:val="20"/>
                          <w:szCs w:val="20"/>
                        </w:rPr>
                        <w:t xml:space="preserve">de </w:t>
                      </w:r>
                      <w:r w:rsidR="00B83FF3">
                        <w:rPr>
                          <w:rFonts w:ascii="Noto Sans" w:eastAsia="Montserrat Medium" w:hAnsi="Noto Sans" w:cs="Noto Sans"/>
                          <w:sz w:val="20"/>
                          <w:szCs w:val="20"/>
                        </w:rPr>
                        <w:t>octubre</w:t>
                      </w:r>
                      <w:r w:rsidR="008E2FA3">
                        <w:rPr>
                          <w:rFonts w:ascii="Noto Sans" w:eastAsia="Montserrat Medium" w:hAnsi="Noto Sans" w:cs="Noto Sans"/>
                          <w:sz w:val="20"/>
                          <w:szCs w:val="20"/>
                        </w:rPr>
                        <w:t xml:space="preserve"> </w:t>
                      </w:r>
                      <w:r w:rsidR="00DA1B19" w:rsidRPr="004E0D31">
                        <w:rPr>
                          <w:rFonts w:ascii="Noto Sans" w:eastAsia="Montserrat Medium" w:hAnsi="Noto Sans" w:cs="Noto Sans"/>
                          <w:sz w:val="20"/>
                          <w:szCs w:val="20"/>
                        </w:rPr>
                        <w:t>de 202</w:t>
                      </w:r>
                      <w:r w:rsidR="00F33C47">
                        <w:rPr>
                          <w:rFonts w:ascii="Noto Sans" w:eastAsia="Montserrat Medium" w:hAnsi="Noto Sans" w:cs="Noto Sans"/>
                          <w:sz w:val="20"/>
                          <w:szCs w:val="20"/>
                        </w:rPr>
                        <w:t>6</w:t>
                      </w:r>
                      <w:r w:rsidR="00DA1B19" w:rsidRPr="004E0D31">
                        <w:rPr>
                          <w:rFonts w:ascii="Noto Sans" w:hAnsi="Noto Sans" w:cs="Noto Sans"/>
                          <w:sz w:val="20"/>
                          <w:szCs w:val="20"/>
                        </w:rPr>
                        <w:t xml:space="preserve"> </w:t>
                      </w:r>
                    </w:p>
                    <w:p w14:paraId="64CA408B" w14:textId="02F51B31" w:rsidR="00B639F3" w:rsidRPr="004E0D31" w:rsidRDefault="00B639F3" w:rsidP="004A2714">
                      <w:pPr>
                        <w:spacing w:before="120" w:after="40" w:line="220" w:lineRule="exact"/>
                        <w:jc w:val="right"/>
                        <w:rPr>
                          <w:rFonts w:ascii="Noto Sans" w:hAnsi="Noto Sans" w:cs="Noto Sans"/>
                          <w:sz w:val="20"/>
                          <w:szCs w:val="20"/>
                        </w:rPr>
                      </w:pPr>
                      <w:r>
                        <w:rPr>
                          <w:rFonts w:ascii="Noto Sans" w:hAnsi="Noto Sans" w:cs="Noto Sans"/>
                          <w:sz w:val="20"/>
                          <w:szCs w:val="20"/>
                        </w:rPr>
                        <w:t xml:space="preserve">No. </w:t>
                      </w:r>
                      <w:r w:rsidR="00A45DF5">
                        <w:rPr>
                          <w:rFonts w:ascii="Noto Sans" w:hAnsi="Noto Sans" w:cs="Noto Sans"/>
                          <w:sz w:val="20"/>
                          <w:szCs w:val="20"/>
                        </w:rPr>
                        <w:t>534</w:t>
                      </w:r>
                      <w:r>
                        <w:rPr>
                          <w:rFonts w:ascii="Noto Sans" w:hAnsi="Noto Sans" w:cs="Noto Sans"/>
                          <w:sz w:val="20"/>
                          <w:szCs w:val="20"/>
                        </w:rPr>
                        <w:t>/202</w:t>
                      </w:r>
                      <w:r w:rsidR="00A10CC4">
                        <w:rPr>
                          <w:rFonts w:ascii="Noto Sans" w:hAnsi="Noto Sans" w:cs="Noto Sans"/>
                          <w:sz w:val="20"/>
                          <w:szCs w:val="20"/>
                        </w:rPr>
                        <w:t>6</w:t>
                      </w:r>
                    </w:p>
                  </w:txbxContent>
                </v:textbox>
                <w10:wrap type="square"/>
              </v:shape>
            </w:pict>
          </mc:Fallback>
        </mc:AlternateContent>
      </w:r>
      <w:r w:rsidR="00A73D65" w:rsidRPr="00007681">
        <w:rPr>
          <w:rFonts w:ascii="Geomanist" w:hAnsi="Geomanist"/>
          <w:sz w:val="21"/>
          <w:szCs w:val="21"/>
          <w:lang w:val="es-MX"/>
        </w:rPr>
        <w:t xml:space="preserve"> </w:t>
      </w:r>
    </w:p>
    <w:p w14:paraId="323893EE" w14:textId="0730CFDF" w:rsidR="00330DC8" w:rsidRPr="000A408C" w:rsidRDefault="00330DC8" w:rsidP="003A034A">
      <w:pPr>
        <w:jc w:val="both"/>
        <w:rPr>
          <w:rFonts w:ascii="Noto Sans" w:hAnsi="Noto Sans" w:cs="Noto Sans"/>
          <w:sz w:val="19"/>
          <w:szCs w:val="19"/>
          <w:lang w:val="es-MX"/>
        </w:rPr>
      </w:pPr>
    </w:p>
    <w:p w14:paraId="59E3A062" w14:textId="63C6EF96" w:rsidR="00330DC8" w:rsidRPr="000A408C" w:rsidRDefault="00330DC8" w:rsidP="003A034A">
      <w:pPr>
        <w:jc w:val="both"/>
        <w:rPr>
          <w:rFonts w:ascii="Noto Sans" w:hAnsi="Noto Sans" w:cs="Noto Sans"/>
          <w:sz w:val="19"/>
          <w:szCs w:val="19"/>
          <w:lang w:val="es-MX"/>
        </w:rPr>
      </w:pPr>
    </w:p>
    <w:p w14:paraId="34EC1968" w14:textId="77777777" w:rsidR="00D370A9" w:rsidRDefault="00D370A9" w:rsidP="003A034A">
      <w:pPr>
        <w:jc w:val="center"/>
        <w:rPr>
          <w:rFonts w:ascii="Noto Sans" w:hAnsi="Noto Sans" w:cs="Noto Sans"/>
          <w:b/>
          <w:bCs/>
          <w:sz w:val="32"/>
          <w:szCs w:val="32"/>
          <w:lang w:val="es-MX"/>
        </w:rPr>
      </w:pPr>
    </w:p>
    <w:p w14:paraId="62B1D1AB" w14:textId="3F735ACD" w:rsidR="009B6F75" w:rsidRDefault="00C36171" w:rsidP="00B7035B">
      <w:pPr>
        <w:ind w:right="21"/>
        <w:jc w:val="center"/>
        <w:rPr>
          <w:rFonts w:ascii="Noto Sans" w:hAnsi="Noto Sans" w:cs="Noto Sans"/>
          <w:b/>
          <w:bCs/>
          <w:spacing w:val="-2"/>
          <w:sz w:val="30"/>
          <w:szCs w:val="30"/>
        </w:rPr>
      </w:pPr>
      <w:r w:rsidRPr="00C36171">
        <w:rPr>
          <w:rFonts w:ascii="Noto Sans" w:hAnsi="Noto Sans" w:cs="Noto Sans"/>
          <w:b/>
          <w:bCs/>
          <w:spacing w:val="-2"/>
          <w:sz w:val="30"/>
          <w:szCs w:val="30"/>
        </w:rPr>
        <w:t>IMSS fortalece seguridad de</w:t>
      </w:r>
      <w:r>
        <w:rPr>
          <w:rFonts w:ascii="Noto Sans" w:hAnsi="Noto Sans" w:cs="Noto Sans"/>
          <w:b/>
          <w:bCs/>
          <w:spacing w:val="-2"/>
          <w:sz w:val="30"/>
          <w:szCs w:val="30"/>
        </w:rPr>
        <w:t>l</w:t>
      </w:r>
      <w:r w:rsidRPr="00C36171">
        <w:rPr>
          <w:rFonts w:ascii="Noto Sans" w:hAnsi="Noto Sans" w:cs="Noto Sans"/>
          <w:b/>
          <w:bCs/>
          <w:spacing w:val="-2"/>
          <w:sz w:val="30"/>
          <w:szCs w:val="30"/>
        </w:rPr>
        <w:t xml:space="preserve"> trasplante renal con pruebas </w:t>
      </w:r>
      <w:r w:rsidR="00E97654">
        <w:rPr>
          <w:rFonts w:ascii="Noto Sans" w:hAnsi="Noto Sans" w:cs="Noto Sans"/>
          <w:b/>
          <w:bCs/>
          <w:spacing w:val="-2"/>
          <w:sz w:val="30"/>
          <w:szCs w:val="30"/>
        </w:rPr>
        <w:t>de</w:t>
      </w:r>
      <w:r w:rsidRPr="00C36171">
        <w:rPr>
          <w:rFonts w:ascii="Noto Sans" w:hAnsi="Noto Sans" w:cs="Noto Sans"/>
          <w:b/>
          <w:bCs/>
          <w:spacing w:val="-2"/>
          <w:sz w:val="30"/>
          <w:szCs w:val="30"/>
        </w:rPr>
        <w:t xml:space="preserve"> compatibilidad entre donador y receptor</w:t>
      </w:r>
    </w:p>
    <w:p w14:paraId="25DE00B1" w14:textId="77777777" w:rsidR="00C36171" w:rsidRDefault="00C36171" w:rsidP="009D7378">
      <w:pPr>
        <w:ind w:right="21"/>
        <w:rPr>
          <w:rFonts w:ascii="Noto Sans" w:hAnsi="Noto Sans" w:cs="Noto Sans"/>
          <w:b/>
          <w:bCs/>
          <w:sz w:val="20"/>
          <w:szCs w:val="20"/>
        </w:rPr>
      </w:pPr>
    </w:p>
    <w:p w14:paraId="3D9F44B2" w14:textId="7E2ABFEB" w:rsidR="00600CCE" w:rsidRPr="00600CCE" w:rsidRDefault="003E1935" w:rsidP="003E1935">
      <w:pPr>
        <w:pStyle w:val="Prrafodelista"/>
        <w:numPr>
          <w:ilvl w:val="0"/>
          <w:numId w:val="5"/>
        </w:numPr>
        <w:jc w:val="both"/>
        <w:rPr>
          <w:rFonts w:ascii="Noto Sans" w:eastAsia="Times New Roman" w:hAnsi="Noto Sans" w:cs="Noto Sans"/>
          <w:b/>
          <w:bCs/>
          <w:sz w:val="20"/>
          <w:szCs w:val="20"/>
        </w:rPr>
      </w:pPr>
      <w:r w:rsidRPr="003E1935">
        <w:rPr>
          <w:rFonts w:ascii="Noto Sans" w:eastAsia="Times New Roman" w:hAnsi="Noto Sans" w:cs="Noto Sans"/>
          <w:b/>
          <w:bCs/>
          <w:sz w:val="20"/>
          <w:szCs w:val="20"/>
        </w:rPr>
        <w:t xml:space="preserve">Las pruebas de histocompatibilidad permiten identificar </w:t>
      </w:r>
      <w:r w:rsidR="00B40FCF">
        <w:rPr>
          <w:rFonts w:ascii="Noto Sans" w:eastAsia="Times New Roman" w:hAnsi="Noto Sans" w:cs="Noto Sans"/>
          <w:b/>
          <w:bCs/>
          <w:sz w:val="20"/>
          <w:szCs w:val="20"/>
        </w:rPr>
        <w:t>al mejor candidato para un</w:t>
      </w:r>
      <w:r w:rsidRPr="003E1935">
        <w:rPr>
          <w:rFonts w:ascii="Noto Sans" w:eastAsia="Times New Roman" w:hAnsi="Noto Sans" w:cs="Noto Sans"/>
          <w:b/>
          <w:bCs/>
          <w:sz w:val="20"/>
          <w:szCs w:val="20"/>
        </w:rPr>
        <w:t xml:space="preserve"> riñón donado, </w:t>
      </w:r>
      <w:r w:rsidR="00B40FCF">
        <w:rPr>
          <w:rFonts w:ascii="Noto Sans" w:eastAsia="Times New Roman" w:hAnsi="Noto Sans" w:cs="Noto Sans"/>
          <w:b/>
          <w:bCs/>
          <w:sz w:val="20"/>
          <w:szCs w:val="20"/>
        </w:rPr>
        <w:t xml:space="preserve">esta </w:t>
      </w:r>
      <w:r w:rsidRPr="003E1935">
        <w:rPr>
          <w:rFonts w:ascii="Noto Sans" w:eastAsia="Times New Roman" w:hAnsi="Noto Sans" w:cs="Noto Sans"/>
          <w:b/>
          <w:bCs/>
          <w:sz w:val="20"/>
          <w:szCs w:val="20"/>
        </w:rPr>
        <w:t>información ayuda al equipo médico a reducir el riesgo de rechazo</w:t>
      </w:r>
      <w:r w:rsidR="00600CCE" w:rsidRPr="00600CCE">
        <w:rPr>
          <w:rFonts w:ascii="Noto Sans" w:eastAsia="Times New Roman" w:hAnsi="Noto Sans" w:cs="Noto Sans"/>
          <w:b/>
          <w:bCs/>
          <w:sz w:val="20"/>
          <w:szCs w:val="20"/>
        </w:rPr>
        <w:t>.</w:t>
      </w:r>
    </w:p>
    <w:p w14:paraId="7702F5D5" w14:textId="48A558DE" w:rsidR="0074213E" w:rsidRPr="0074213E" w:rsidRDefault="003E1935" w:rsidP="0074213E">
      <w:pPr>
        <w:pStyle w:val="Prrafodelista"/>
        <w:numPr>
          <w:ilvl w:val="0"/>
          <w:numId w:val="5"/>
        </w:numPr>
        <w:ind w:right="21"/>
        <w:jc w:val="both"/>
        <w:rPr>
          <w:rFonts w:ascii="Noto Sans" w:eastAsia="Times New Roman" w:hAnsi="Noto Sans" w:cs="Noto Sans"/>
          <w:b/>
          <w:bCs/>
          <w:sz w:val="20"/>
          <w:szCs w:val="20"/>
        </w:rPr>
      </w:pPr>
      <w:r w:rsidRPr="003E1935">
        <w:rPr>
          <w:rFonts w:ascii="Noto Sans" w:eastAsia="Times New Roman" w:hAnsi="Noto Sans" w:cs="Noto Sans"/>
          <w:b/>
          <w:bCs/>
          <w:sz w:val="20"/>
          <w:szCs w:val="20"/>
        </w:rPr>
        <w:t xml:space="preserve">El </w:t>
      </w:r>
      <w:r w:rsidR="002C1AE1">
        <w:rPr>
          <w:rFonts w:ascii="Noto Sans" w:eastAsia="Times New Roman" w:hAnsi="Noto Sans" w:cs="Noto Sans"/>
          <w:b/>
          <w:bCs/>
          <w:sz w:val="20"/>
          <w:szCs w:val="20"/>
        </w:rPr>
        <w:t>Seguro Social</w:t>
      </w:r>
      <w:r w:rsidRPr="003E1935">
        <w:rPr>
          <w:rFonts w:ascii="Noto Sans" w:eastAsia="Times New Roman" w:hAnsi="Noto Sans" w:cs="Noto Sans"/>
          <w:b/>
          <w:bCs/>
          <w:sz w:val="20"/>
          <w:szCs w:val="20"/>
        </w:rPr>
        <w:t xml:space="preserve"> cuenta con laboratorios de histocompatibilidad en unidades médicas de alta especialidad y trabaja para ampliar estas pruebas a más regiones del país</w:t>
      </w:r>
      <w:r w:rsidR="0074213E" w:rsidRPr="0074213E">
        <w:rPr>
          <w:rFonts w:ascii="Noto Sans" w:eastAsia="Times New Roman" w:hAnsi="Noto Sans" w:cs="Noto Sans"/>
          <w:b/>
          <w:bCs/>
          <w:sz w:val="20"/>
          <w:szCs w:val="20"/>
        </w:rPr>
        <w:t>.</w:t>
      </w:r>
    </w:p>
    <w:p w14:paraId="27264300" w14:textId="46E9C133" w:rsidR="00330DC8" w:rsidRPr="0033023B" w:rsidRDefault="00196EF5" w:rsidP="0033023B">
      <w:pPr>
        <w:pStyle w:val="Prrafodelista"/>
        <w:ind w:left="709" w:right="-801"/>
        <w:jc w:val="both"/>
        <w:rPr>
          <w:rFonts w:ascii="Noto Sans" w:hAnsi="Noto Sans" w:cs="Noto Sans"/>
          <w:sz w:val="22"/>
          <w:szCs w:val="22"/>
        </w:rPr>
      </w:pPr>
      <w:r w:rsidRPr="0033023B">
        <w:rPr>
          <w:rFonts w:ascii="Noto Sans" w:eastAsia="Times New Roman" w:hAnsi="Noto Sans" w:cs="Noto Sans"/>
          <w:b/>
          <w:bCs/>
          <w:sz w:val="20"/>
          <w:szCs w:val="20"/>
        </w:rPr>
        <w:t xml:space="preserve"> </w:t>
      </w:r>
    </w:p>
    <w:p w14:paraId="49D63493" w14:textId="2DB70CF9" w:rsidR="00113DEA" w:rsidRPr="00113DEA" w:rsidRDefault="006B1E9F" w:rsidP="00113DEA">
      <w:pPr>
        <w:ind w:right="49"/>
        <w:jc w:val="both"/>
        <w:rPr>
          <w:rFonts w:ascii="Noto Sans" w:hAnsi="Noto Sans" w:cs="Noto Sans"/>
          <w:spacing w:val="-2"/>
          <w:sz w:val="20"/>
          <w:szCs w:val="20"/>
        </w:rPr>
      </w:pPr>
      <w:r>
        <w:rPr>
          <w:rFonts w:ascii="Noto Sans" w:hAnsi="Noto Sans" w:cs="Noto Sans"/>
          <w:spacing w:val="-2"/>
          <w:sz w:val="20"/>
          <w:szCs w:val="20"/>
        </w:rPr>
        <w:t xml:space="preserve">Para lograr un mayor éxito </w:t>
      </w:r>
      <w:r w:rsidR="00503B90">
        <w:rPr>
          <w:rFonts w:ascii="Noto Sans" w:hAnsi="Noto Sans" w:cs="Noto Sans"/>
          <w:spacing w:val="-2"/>
          <w:sz w:val="20"/>
          <w:szCs w:val="20"/>
        </w:rPr>
        <w:t xml:space="preserve">y seguridad </w:t>
      </w:r>
      <w:r>
        <w:rPr>
          <w:rFonts w:ascii="Noto Sans" w:hAnsi="Noto Sans" w:cs="Noto Sans"/>
          <w:spacing w:val="-2"/>
          <w:sz w:val="20"/>
          <w:szCs w:val="20"/>
        </w:rPr>
        <w:t xml:space="preserve">en </w:t>
      </w:r>
      <w:r w:rsidR="00503B90">
        <w:rPr>
          <w:rFonts w:ascii="Noto Sans" w:hAnsi="Noto Sans" w:cs="Noto Sans"/>
          <w:spacing w:val="-2"/>
          <w:sz w:val="20"/>
          <w:szCs w:val="20"/>
        </w:rPr>
        <w:t>trasplantes renales, e</w:t>
      </w:r>
      <w:r w:rsidR="00113DEA" w:rsidRPr="00113DEA">
        <w:rPr>
          <w:rFonts w:ascii="Noto Sans" w:hAnsi="Noto Sans" w:cs="Noto Sans"/>
          <w:spacing w:val="-2"/>
          <w:sz w:val="20"/>
          <w:szCs w:val="20"/>
        </w:rPr>
        <w:t xml:space="preserve">l Instituto Mexicano del Seguro Social (IMSS) cuenta con pruebas </w:t>
      </w:r>
      <w:r>
        <w:rPr>
          <w:rFonts w:ascii="Noto Sans" w:hAnsi="Noto Sans" w:cs="Noto Sans"/>
          <w:spacing w:val="-2"/>
          <w:sz w:val="20"/>
          <w:szCs w:val="20"/>
        </w:rPr>
        <w:t>especializadas</w:t>
      </w:r>
      <w:r w:rsidR="00113DEA" w:rsidRPr="00113DEA">
        <w:rPr>
          <w:rFonts w:ascii="Noto Sans" w:hAnsi="Noto Sans" w:cs="Noto Sans"/>
          <w:spacing w:val="-2"/>
          <w:sz w:val="20"/>
          <w:szCs w:val="20"/>
        </w:rPr>
        <w:t xml:space="preserve"> que permiten evaluar qué tan compatible es un riñón con la persona que recibirá </w:t>
      </w:r>
      <w:r w:rsidR="00C913F0">
        <w:rPr>
          <w:rFonts w:ascii="Noto Sans" w:hAnsi="Noto Sans" w:cs="Noto Sans"/>
          <w:spacing w:val="-2"/>
          <w:sz w:val="20"/>
          <w:szCs w:val="20"/>
        </w:rPr>
        <w:t>este órgano</w:t>
      </w:r>
      <w:r w:rsidR="00113DEA" w:rsidRPr="00113DEA">
        <w:rPr>
          <w:rFonts w:ascii="Noto Sans" w:hAnsi="Noto Sans" w:cs="Noto Sans"/>
          <w:spacing w:val="-2"/>
          <w:sz w:val="20"/>
          <w:szCs w:val="20"/>
        </w:rPr>
        <w:t>, tanto en casos de donación de una persona fallecida como de donante vivo.</w:t>
      </w:r>
    </w:p>
    <w:p w14:paraId="39ABC46B" w14:textId="77777777" w:rsidR="00113DEA" w:rsidRPr="00113DEA" w:rsidRDefault="00113DEA" w:rsidP="00113DEA">
      <w:pPr>
        <w:ind w:right="49"/>
        <w:jc w:val="both"/>
        <w:rPr>
          <w:rFonts w:ascii="Noto Sans" w:hAnsi="Noto Sans" w:cs="Noto Sans"/>
          <w:spacing w:val="-2"/>
          <w:sz w:val="20"/>
          <w:szCs w:val="20"/>
        </w:rPr>
      </w:pPr>
    </w:p>
    <w:p w14:paraId="0D9B0E9F" w14:textId="2994D235" w:rsidR="00113DEA" w:rsidRPr="00113DEA" w:rsidRDefault="00113DEA" w:rsidP="00113DEA">
      <w:pPr>
        <w:ind w:right="49"/>
        <w:jc w:val="both"/>
        <w:rPr>
          <w:rFonts w:ascii="Noto Sans" w:hAnsi="Noto Sans" w:cs="Noto Sans"/>
          <w:spacing w:val="-2"/>
          <w:sz w:val="20"/>
          <w:szCs w:val="20"/>
        </w:rPr>
      </w:pPr>
      <w:r w:rsidRPr="00113DEA">
        <w:rPr>
          <w:rFonts w:ascii="Noto Sans" w:hAnsi="Noto Sans" w:cs="Noto Sans"/>
          <w:spacing w:val="-2"/>
          <w:sz w:val="20"/>
          <w:szCs w:val="20"/>
        </w:rPr>
        <w:t xml:space="preserve">La química clínica Nelly Dávila Estrella, adscrita al Laboratorio de Histocompatibilidad del Banco de Sangre del Centro Médico Nacional (CMN) Siglo XXI, explicó que una de las principales evaluaciones es la compatibilidad del Antígeno Leucocitario Humano (HLA), que permite detectar </w:t>
      </w:r>
      <w:r w:rsidR="00195022">
        <w:rPr>
          <w:rFonts w:ascii="Noto Sans" w:hAnsi="Noto Sans" w:cs="Noto Sans"/>
          <w:spacing w:val="-2"/>
          <w:sz w:val="20"/>
          <w:szCs w:val="20"/>
        </w:rPr>
        <w:t>anticuerpos</w:t>
      </w:r>
      <w:r w:rsidRPr="00113DEA">
        <w:rPr>
          <w:rFonts w:ascii="Noto Sans" w:hAnsi="Noto Sans" w:cs="Noto Sans"/>
          <w:spacing w:val="-2"/>
          <w:sz w:val="20"/>
          <w:szCs w:val="20"/>
        </w:rPr>
        <w:t xml:space="preserve"> entre donador y receptor que podrían aumentar el riesgo de rechazo.</w:t>
      </w:r>
    </w:p>
    <w:p w14:paraId="108CA3C2" w14:textId="77777777" w:rsidR="00113DEA" w:rsidRPr="00113DEA" w:rsidRDefault="00113DEA" w:rsidP="00113DEA">
      <w:pPr>
        <w:ind w:right="49"/>
        <w:jc w:val="both"/>
        <w:rPr>
          <w:rFonts w:ascii="Noto Sans" w:hAnsi="Noto Sans" w:cs="Noto Sans"/>
          <w:spacing w:val="-2"/>
          <w:sz w:val="20"/>
          <w:szCs w:val="20"/>
        </w:rPr>
      </w:pPr>
    </w:p>
    <w:p w14:paraId="7E731394" w14:textId="23B13A9B" w:rsidR="00113DEA" w:rsidRPr="00113DEA" w:rsidRDefault="00113DEA" w:rsidP="00113DEA">
      <w:pPr>
        <w:ind w:right="49"/>
        <w:jc w:val="both"/>
        <w:rPr>
          <w:rFonts w:ascii="Noto Sans" w:hAnsi="Noto Sans" w:cs="Noto Sans"/>
          <w:spacing w:val="-2"/>
          <w:sz w:val="20"/>
          <w:szCs w:val="20"/>
        </w:rPr>
      </w:pPr>
      <w:r w:rsidRPr="00113DEA">
        <w:rPr>
          <w:rFonts w:ascii="Noto Sans" w:hAnsi="Noto Sans" w:cs="Noto Sans"/>
          <w:spacing w:val="-2"/>
          <w:sz w:val="20"/>
          <w:szCs w:val="20"/>
        </w:rPr>
        <w:t>La especialista señaló que los anticuerpos anti-HLA pueden aparecer después de una transfusión de sangre, un embarazo o un trasplante previo</w:t>
      </w:r>
      <w:r w:rsidR="00195022">
        <w:rPr>
          <w:rFonts w:ascii="Noto Sans" w:hAnsi="Noto Sans" w:cs="Noto Sans"/>
          <w:spacing w:val="-2"/>
          <w:sz w:val="20"/>
          <w:szCs w:val="20"/>
        </w:rPr>
        <w:t>;</w:t>
      </w:r>
      <w:r w:rsidRPr="00113DEA">
        <w:rPr>
          <w:rFonts w:ascii="Noto Sans" w:hAnsi="Noto Sans" w:cs="Noto Sans"/>
          <w:spacing w:val="-2"/>
          <w:sz w:val="20"/>
          <w:szCs w:val="20"/>
        </w:rPr>
        <w:t xml:space="preserve"> </w:t>
      </w:r>
      <w:r w:rsidR="00195022">
        <w:rPr>
          <w:rFonts w:ascii="Noto Sans" w:hAnsi="Noto Sans" w:cs="Noto Sans"/>
          <w:spacing w:val="-2"/>
          <w:sz w:val="20"/>
          <w:szCs w:val="20"/>
        </w:rPr>
        <w:t>s</w:t>
      </w:r>
      <w:r w:rsidRPr="00113DEA">
        <w:rPr>
          <w:rFonts w:ascii="Noto Sans" w:hAnsi="Noto Sans" w:cs="Noto Sans"/>
          <w:spacing w:val="-2"/>
          <w:sz w:val="20"/>
          <w:szCs w:val="20"/>
        </w:rPr>
        <w:t xml:space="preserve">u presencia no significa que </w:t>
      </w:r>
      <w:proofErr w:type="spellStart"/>
      <w:r w:rsidR="006B0965">
        <w:rPr>
          <w:rFonts w:ascii="Noto Sans" w:hAnsi="Noto Sans" w:cs="Noto Sans"/>
          <w:spacing w:val="-2"/>
          <w:sz w:val="20"/>
          <w:szCs w:val="20"/>
        </w:rPr>
        <w:t>el</w:t>
      </w:r>
      <w:proofErr w:type="spellEnd"/>
      <w:r w:rsidR="006B0965">
        <w:rPr>
          <w:rFonts w:ascii="Noto Sans" w:hAnsi="Noto Sans" w:cs="Noto Sans"/>
          <w:spacing w:val="-2"/>
          <w:sz w:val="20"/>
          <w:szCs w:val="20"/>
        </w:rPr>
        <w:t xml:space="preserve"> o la paciente</w:t>
      </w:r>
      <w:r w:rsidRPr="00113DEA">
        <w:rPr>
          <w:rFonts w:ascii="Noto Sans" w:hAnsi="Noto Sans" w:cs="Noto Sans"/>
          <w:spacing w:val="-2"/>
          <w:sz w:val="20"/>
          <w:szCs w:val="20"/>
        </w:rPr>
        <w:t xml:space="preserve"> no </w:t>
      </w:r>
      <w:r w:rsidR="00195022">
        <w:rPr>
          <w:rFonts w:ascii="Noto Sans" w:hAnsi="Noto Sans" w:cs="Noto Sans"/>
          <w:spacing w:val="-2"/>
          <w:sz w:val="20"/>
          <w:szCs w:val="20"/>
        </w:rPr>
        <w:t xml:space="preserve">sea </w:t>
      </w:r>
      <w:r w:rsidR="00DA6613">
        <w:rPr>
          <w:rFonts w:ascii="Noto Sans" w:hAnsi="Noto Sans" w:cs="Noto Sans"/>
          <w:spacing w:val="-2"/>
          <w:sz w:val="20"/>
          <w:szCs w:val="20"/>
        </w:rPr>
        <w:t>candidata para recibir</w:t>
      </w:r>
      <w:r w:rsidRPr="00113DEA">
        <w:rPr>
          <w:rFonts w:ascii="Noto Sans" w:hAnsi="Noto Sans" w:cs="Noto Sans"/>
          <w:spacing w:val="-2"/>
          <w:sz w:val="20"/>
          <w:szCs w:val="20"/>
        </w:rPr>
        <w:t xml:space="preserve"> un riñón, pero conocer cuántos anticuerpos tiene y </w:t>
      </w:r>
      <w:r w:rsidR="00535EA6">
        <w:rPr>
          <w:rFonts w:ascii="Noto Sans" w:hAnsi="Noto Sans" w:cs="Noto Sans"/>
          <w:spacing w:val="-2"/>
          <w:sz w:val="20"/>
          <w:szCs w:val="20"/>
        </w:rPr>
        <w:t xml:space="preserve">sus </w:t>
      </w:r>
      <w:r w:rsidRPr="00113DEA">
        <w:rPr>
          <w:rFonts w:ascii="Noto Sans" w:hAnsi="Noto Sans" w:cs="Noto Sans"/>
          <w:spacing w:val="-2"/>
          <w:sz w:val="20"/>
          <w:szCs w:val="20"/>
        </w:rPr>
        <w:t xml:space="preserve">características </w:t>
      </w:r>
      <w:r w:rsidR="007D3B5F">
        <w:rPr>
          <w:rFonts w:ascii="Noto Sans" w:hAnsi="Noto Sans" w:cs="Noto Sans"/>
          <w:spacing w:val="-2"/>
          <w:sz w:val="20"/>
          <w:szCs w:val="20"/>
        </w:rPr>
        <w:t>apoya a</w:t>
      </w:r>
      <w:r w:rsidRPr="00113DEA">
        <w:rPr>
          <w:rFonts w:ascii="Noto Sans" w:hAnsi="Noto Sans" w:cs="Noto Sans"/>
          <w:spacing w:val="-2"/>
          <w:sz w:val="20"/>
          <w:szCs w:val="20"/>
        </w:rPr>
        <w:t xml:space="preserve">l personal médico </w:t>
      </w:r>
      <w:r w:rsidR="007D3B5F">
        <w:rPr>
          <w:rFonts w:ascii="Noto Sans" w:hAnsi="Noto Sans" w:cs="Noto Sans"/>
          <w:spacing w:val="-2"/>
          <w:sz w:val="20"/>
          <w:szCs w:val="20"/>
        </w:rPr>
        <w:t xml:space="preserve">para </w:t>
      </w:r>
      <w:r w:rsidRPr="00113DEA">
        <w:rPr>
          <w:rFonts w:ascii="Noto Sans" w:hAnsi="Noto Sans" w:cs="Noto Sans"/>
          <w:spacing w:val="-2"/>
          <w:sz w:val="20"/>
          <w:szCs w:val="20"/>
        </w:rPr>
        <w:t>valorar el riesgo</w:t>
      </w:r>
      <w:r w:rsidR="00535EA6">
        <w:rPr>
          <w:rFonts w:ascii="Noto Sans" w:hAnsi="Noto Sans" w:cs="Noto Sans"/>
          <w:spacing w:val="-2"/>
          <w:sz w:val="20"/>
          <w:szCs w:val="20"/>
        </w:rPr>
        <w:t>,</w:t>
      </w:r>
      <w:r w:rsidRPr="00113DEA">
        <w:rPr>
          <w:rFonts w:ascii="Noto Sans" w:hAnsi="Noto Sans" w:cs="Noto Sans"/>
          <w:spacing w:val="-2"/>
          <w:sz w:val="20"/>
          <w:szCs w:val="20"/>
        </w:rPr>
        <w:t xml:space="preserve"> orientar el tratamiento y la elección del </w:t>
      </w:r>
      <w:r w:rsidR="00535EA6">
        <w:rPr>
          <w:rFonts w:ascii="Noto Sans" w:hAnsi="Noto Sans" w:cs="Noto Sans"/>
          <w:spacing w:val="-2"/>
          <w:sz w:val="20"/>
          <w:szCs w:val="20"/>
        </w:rPr>
        <w:t>receptor más idóneo</w:t>
      </w:r>
      <w:r w:rsidRPr="00113DEA">
        <w:rPr>
          <w:rFonts w:ascii="Noto Sans" w:hAnsi="Noto Sans" w:cs="Noto Sans"/>
          <w:spacing w:val="-2"/>
          <w:sz w:val="20"/>
          <w:szCs w:val="20"/>
        </w:rPr>
        <w:t>.</w:t>
      </w:r>
    </w:p>
    <w:p w14:paraId="1FC30742" w14:textId="77777777" w:rsidR="00113DEA" w:rsidRPr="00113DEA" w:rsidRDefault="00113DEA" w:rsidP="00113DEA">
      <w:pPr>
        <w:ind w:right="49"/>
        <w:jc w:val="both"/>
        <w:rPr>
          <w:rFonts w:ascii="Noto Sans" w:hAnsi="Noto Sans" w:cs="Noto Sans"/>
          <w:spacing w:val="-2"/>
          <w:sz w:val="20"/>
          <w:szCs w:val="20"/>
        </w:rPr>
      </w:pPr>
    </w:p>
    <w:p w14:paraId="6A390F56" w14:textId="7CA61CF6" w:rsidR="00113DEA" w:rsidRPr="00113DEA" w:rsidRDefault="00113DEA" w:rsidP="00113DEA">
      <w:pPr>
        <w:ind w:right="49"/>
        <w:jc w:val="both"/>
        <w:rPr>
          <w:rFonts w:ascii="Noto Sans" w:hAnsi="Noto Sans" w:cs="Noto Sans"/>
          <w:spacing w:val="-2"/>
          <w:sz w:val="20"/>
          <w:szCs w:val="20"/>
        </w:rPr>
      </w:pPr>
      <w:r w:rsidRPr="00113DEA">
        <w:rPr>
          <w:rFonts w:ascii="Noto Sans" w:hAnsi="Noto Sans" w:cs="Noto Sans"/>
          <w:spacing w:val="-2"/>
          <w:sz w:val="20"/>
          <w:szCs w:val="20"/>
        </w:rPr>
        <w:t>Dávila Estrella explicó que las pruebas cruzadas han evolucionado para ser cada vez más sensibles y específicas</w:t>
      </w:r>
      <w:r w:rsidR="00CB7D9F">
        <w:rPr>
          <w:rFonts w:ascii="Noto Sans" w:hAnsi="Noto Sans" w:cs="Noto Sans"/>
          <w:spacing w:val="-2"/>
          <w:sz w:val="20"/>
          <w:szCs w:val="20"/>
        </w:rPr>
        <w:t>;</w:t>
      </w:r>
      <w:r w:rsidRPr="00113DEA">
        <w:rPr>
          <w:rFonts w:ascii="Noto Sans" w:hAnsi="Noto Sans" w:cs="Noto Sans"/>
          <w:spacing w:val="-2"/>
          <w:sz w:val="20"/>
          <w:szCs w:val="20"/>
        </w:rPr>
        <w:t xml:space="preserve"> </w:t>
      </w:r>
      <w:r w:rsidR="00CB7D9F">
        <w:rPr>
          <w:rFonts w:ascii="Noto Sans" w:hAnsi="Noto Sans" w:cs="Noto Sans"/>
          <w:spacing w:val="-2"/>
          <w:sz w:val="20"/>
          <w:szCs w:val="20"/>
        </w:rPr>
        <w:t>e</w:t>
      </w:r>
      <w:r w:rsidRPr="00113DEA">
        <w:rPr>
          <w:rFonts w:ascii="Noto Sans" w:hAnsi="Noto Sans" w:cs="Noto Sans"/>
          <w:spacing w:val="-2"/>
          <w:sz w:val="20"/>
          <w:szCs w:val="20"/>
        </w:rPr>
        <w:t>n el IMSS se utilizan herramientas como la citometría de flujo y pruebas especializadas para identificar anticuerpos contra el donador.</w:t>
      </w:r>
    </w:p>
    <w:p w14:paraId="2A0E40B8" w14:textId="77777777" w:rsidR="00113DEA" w:rsidRPr="00113DEA" w:rsidRDefault="00113DEA" w:rsidP="00113DEA">
      <w:pPr>
        <w:ind w:right="49"/>
        <w:jc w:val="both"/>
        <w:rPr>
          <w:rFonts w:ascii="Noto Sans" w:hAnsi="Noto Sans" w:cs="Noto Sans"/>
          <w:spacing w:val="-2"/>
          <w:sz w:val="20"/>
          <w:szCs w:val="20"/>
        </w:rPr>
      </w:pPr>
    </w:p>
    <w:p w14:paraId="7FD58A96" w14:textId="4488FCC4" w:rsidR="00113DEA" w:rsidRPr="00113DEA" w:rsidRDefault="00CB7D9F" w:rsidP="00113DEA">
      <w:pPr>
        <w:ind w:right="49"/>
        <w:jc w:val="both"/>
        <w:rPr>
          <w:rFonts w:ascii="Noto Sans" w:hAnsi="Noto Sans" w:cs="Noto Sans"/>
          <w:spacing w:val="-2"/>
          <w:sz w:val="20"/>
          <w:szCs w:val="20"/>
        </w:rPr>
      </w:pPr>
      <w:r>
        <w:rPr>
          <w:rFonts w:ascii="Noto Sans" w:hAnsi="Noto Sans" w:cs="Noto Sans"/>
          <w:spacing w:val="-2"/>
          <w:sz w:val="20"/>
          <w:szCs w:val="20"/>
        </w:rPr>
        <w:t>Señaló que e</w:t>
      </w:r>
      <w:r w:rsidR="00113DEA" w:rsidRPr="00113DEA">
        <w:rPr>
          <w:rFonts w:ascii="Noto Sans" w:hAnsi="Noto Sans" w:cs="Noto Sans"/>
          <w:spacing w:val="-2"/>
          <w:sz w:val="20"/>
          <w:szCs w:val="20"/>
        </w:rPr>
        <w:t xml:space="preserve">l laboratorio </w:t>
      </w:r>
      <w:r>
        <w:rPr>
          <w:rFonts w:ascii="Noto Sans" w:hAnsi="Noto Sans" w:cs="Noto Sans"/>
          <w:spacing w:val="-2"/>
          <w:sz w:val="20"/>
          <w:szCs w:val="20"/>
        </w:rPr>
        <w:t xml:space="preserve">de Histocompatibilidad </w:t>
      </w:r>
      <w:r w:rsidR="00113DEA" w:rsidRPr="00113DEA">
        <w:rPr>
          <w:rFonts w:ascii="Noto Sans" w:hAnsi="Noto Sans" w:cs="Noto Sans"/>
          <w:spacing w:val="-2"/>
          <w:sz w:val="20"/>
          <w:szCs w:val="20"/>
        </w:rPr>
        <w:t>del CMN Siglo XXI realiza estas evaluaciones dentro de una cadena de trabajo en la que participan los equipos de donación, trasplantes y laboratorio. Cuando existe una posible donación, el personal revisa la información de los probables receptores y continúa el análisis con las muestras del donador.</w:t>
      </w:r>
    </w:p>
    <w:p w14:paraId="3E32A217" w14:textId="77777777" w:rsidR="00113DEA" w:rsidRPr="00113DEA" w:rsidRDefault="00113DEA" w:rsidP="00113DEA">
      <w:pPr>
        <w:ind w:right="49"/>
        <w:jc w:val="both"/>
        <w:rPr>
          <w:rFonts w:ascii="Noto Sans" w:hAnsi="Noto Sans" w:cs="Noto Sans"/>
          <w:spacing w:val="-2"/>
          <w:sz w:val="20"/>
          <w:szCs w:val="20"/>
        </w:rPr>
      </w:pPr>
    </w:p>
    <w:p w14:paraId="3781211A" w14:textId="46CB4879" w:rsidR="00113DEA" w:rsidRPr="00113DEA" w:rsidRDefault="008F022A" w:rsidP="00113DEA">
      <w:pPr>
        <w:ind w:right="49"/>
        <w:jc w:val="both"/>
        <w:rPr>
          <w:rFonts w:ascii="Noto Sans" w:hAnsi="Noto Sans" w:cs="Noto Sans"/>
          <w:spacing w:val="-2"/>
          <w:sz w:val="20"/>
          <w:szCs w:val="20"/>
        </w:rPr>
      </w:pPr>
      <w:r>
        <w:rPr>
          <w:rFonts w:ascii="Noto Sans" w:hAnsi="Noto Sans" w:cs="Noto Sans"/>
          <w:spacing w:val="-2"/>
          <w:sz w:val="20"/>
          <w:szCs w:val="20"/>
        </w:rPr>
        <w:t>Añadió</w:t>
      </w:r>
      <w:r w:rsidR="00113DEA" w:rsidRPr="00113DEA">
        <w:rPr>
          <w:rFonts w:ascii="Noto Sans" w:hAnsi="Noto Sans" w:cs="Noto Sans"/>
          <w:spacing w:val="-2"/>
          <w:sz w:val="20"/>
          <w:szCs w:val="20"/>
        </w:rPr>
        <w:t xml:space="preserve"> que las pruebas cruzadas tienen un tiempo aproximado de cuatro a cinco horas, aunque puede variar según las características de las muestras</w:t>
      </w:r>
      <w:r>
        <w:rPr>
          <w:rFonts w:ascii="Noto Sans" w:hAnsi="Noto Sans" w:cs="Noto Sans"/>
          <w:spacing w:val="-2"/>
          <w:sz w:val="20"/>
          <w:szCs w:val="20"/>
        </w:rPr>
        <w:t>,</w:t>
      </w:r>
      <w:r w:rsidR="00113DEA" w:rsidRPr="00113DEA">
        <w:rPr>
          <w:rFonts w:ascii="Noto Sans" w:hAnsi="Noto Sans" w:cs="Noto Sans"/>
          <w:spacing w:val="-2"/>
          <w:sz w:val="20"/>
          <w:szCs w:val="20"/>
        </w:rPr>
        <w:t xml:space="preserve"> </w:t>
      </w:r>
      <w:r>
        <w:rPr>
          <w:rFonts w:ascii="Noto Sans" w:hAnsi="Noto Sans" w:cs="Noto Sans"/>
          <w:spacing w:val="-2"/>
          <w:sz w:val="20"/>
          <w:szCs w:val="20"/>
        </w:rPr>
        <w:t>e</w:t>
      </w:r>
      <w:r w:rsidR="00113DEA" w:rsidRPr="00113DEA">
        <w:rPr>
          <w:rFonts w:ascii="Noto Sans" w:hAnsi="Noto Sans" w:cs="Noto Sans"/>
          <w:spacing w:val="-2"/>
          <w:sz w:val="20"/>
          <w:szCs w:val="20"/>
        </w:rPr>
        <w:t>sto contribuye a reducir el tiempo que el órgano permanece fuera del organismo</w:t>
      </w:r>
      <w:r>
        <w:rPr>
          <w:rFonts w:ascii="Noto Sans" w:hAnsi="Noto Sans" w:cs="Noto Sans"/>
          <w:spacing w:val="-2"/>
          <w:sz w:val="20"/>
          <w:szCs w:val="20"/>
        </w:rPr>
        <w:t xml:space="preserve"> y evitar que </w:t>
      </w:r>
      <w:r w:rsidR="00DF386B">
        <w:rPr>
          <w:rFonts w:ascii="Noto Sans" w:hAnsi="Noto Sans" w:cs="Noto Sans"/>
          <w:spacing w:val="-2"/>
          <w:sz w:val="20"/>
          <w:szCs w:val="20"/>
        </w:rPr>
        <w:t>el riñón comience a desarrollar un proceso de isquemia</w:t>
      </w:r>
      <w:r w:rsidR="00113DEA" w:rsidRPr="00113DEA">
        <w:rPr>
          <w:rFonts w:ascii="Noto Sans" w:hAnsi="Noto Sans" w:cs="Noto Sans"/>
          <w:spacing w:val="-2"/>
          <w:sz w:val="20"/>
          <w:szCs w:val="20"/>
        </w:rPr>
        <w:t>.</w:t>
      </w:r>
    </w:p>
    <w:p w14:paraId="6FDFA6A1" w14:textId="77777777" w:rsidR="00113DEA" w:rsidRPr="00113DEA" w:rsidRDefault="00113DEA" w:rsidP="00113DEA">
      <w:pPr>
        <w:ind w:right="49"/>
        <w:jc w:val="both"/>
        <w:rPr>
          <w:rFonts w:ascii="Noto Sans" w:hAnsi="Noto Sans" w:cs="Noto Sans"/>
          <w:spacing w:val="-2"/>
          <w:sz w:val="20"/>
          <w:szCs w:val="20"/>
        </w:rPr>
      </w:pPr>
    </w:p>
    <w:p w14:paraId="72085390" w14:textId="7F7DA28D" w:rsidR="00113DEA" w:rsidRPr="00113DEA" w:rsidRDefault="00113DEA" w:rsidP="00113DEA">
      <w:pPr>
        <w:ind w:right="49"/>
        <w:jc w:val="both"/>
        <w:rPr>
          <w:rFonts w:ascii="Noto Sans" w:hAnsi="Noto Sans" w:cs="Noto Sans"/>
          <w:spacing w:val="-2"/>
          <w:sz w:val="20"/>
          <w:szCs w:val="20"/>
        </w:rPr>
      </w:pPr>
      <w:r w:rsidRPr="00113DEA">
        <w:rPr>
          <w:rFonts w:ascii="Noto Sans" w:hAnsi="Noto Sans" w:cs="Noto Sans"/>
          <w:spacing w:val="-2"/>
          <w:sz w:val="20"/>
          <w:szCs w:val="20"/>
        </w:rPr>
        <w:t xml:space="preserve">Por su parte, la doctora Nubia Denisse Avilez Pacheco, encargada de la División de Donación y Trasplantes de la Coordinación de Atención Oncológica, Donación y Trasplantes del IMSS, informó que el Instituto cuenta con </w:t>
      </w:r>
      <w:r w:rsidRPr="00113DEA">
        <w:rPr>
          <w:rFonts w:ascii="Noto Sans" w:hAnsi="Noto Sans" w:cs="Noto Sans"/>
          <w:spacing w:val="-2"/>
          <w:sz w:val="20"/>
          <w:szCs w:val="20"/>
        </w:rPr>
        <w:lastRenderedPageBreak/>
        <w:t>laboratorios de histocompatibilidad</w:t>
      </w:r>
      <w:r w:rsidR="009A61EA">
        <w:rPr>
          <w:rFonts w:ascii="Noto Sans" w:hAnsi="Noto Sans" w:cs="Noto Sans"/>
          <w:spacing w:val="-2"/>
          <w:sz w:val="20"/>
          <w:szCs w:val="20"/>
        </w:rPr>
        <w:t xml:space="preserve"> en </w:t>
      </w:r>
      <w:r w:rsidRPr="00113DEA">
        <w:rPr>
          <w:rFonts w:ascii="Noto Sans" w:hAnsi="Noto Sans" w:cs="Noto Sans"/>
          <w:spacing w:val="-2"/>
          <w:sz w:val="20"/>
          <w:szCs w:val="20"/>
        </w:rPr>
        <w:t xml:space="preserve">los </w:t>
      </w:r>
      <w:r w:rsidR="00117743">
        <w:rPr>
          <w:rFonts w:ascii="Noto Sans" w:hAnsi="Noto Sans" w:cs="Noto Sans"/>
          <w:spacing w:val="-2"/>
          <w:sz w:val="20"/>
          <w:szCs w:val="20"/>
        </w:rPr>
        <w:t>Centros Médicos Nacionales</w:t>
      </w:r>
      <w:r w:rsidRPr="00113DEA">
        <w:rPr>
          <w:rFonts w:ascii="Noto Sans" w:hAnsi="Noto Sans" w:cs="Noto Sans"/>
          <w:spacing w:val="-2"/>
          <w:sz w:val="20"/>
          <w:szCs w:val="20"/>
        </w:rPr>
        <w:t xml:space="preserve"> Siglo XXI, La Raza y </w:t>
      </w:r>
      <w:r w:rsidR="009A61EA">
        <w:rPr>
          <w:rFonts w:ascii="Noto Sans" w:hAnsi="Noto Sans" w:cs="Noto Sans"/>
          <w:spacing w:val="-2"/>
          <w:sz w:val="20"/>
          <w:szCs w:val="20"/>
        </w:rPr>
        <w:t xml:space="preserve">de </w:t>
      </w:r>
      <w:r w:rsidRPr="00113DEA">
        <w:rPr>
          <w:rFonts w:ascii="Noto Sans" w:hAnsi="Noto Sans" w:cs="Noto Sans"/>
          <w:spacing w:val="-2"/>
          <w:sz w:val="20"/>
          <w:szCs w:val="20"/>
        </w:rPr>
        <w:t xml:space="preserve">Occidente, en Jalisco, así como la </w:t>
      </w:r>
      <w:r w:rsidR="00117743">
        <w:rPr>
          <w:rFonts w:ascii="Noto Sans" w:hAnsi="Noto Sans" w:cs="Noto Sans"/>
          <w:spacing w:val="-2"/>
          <w:sz w:val="20"/>
          <w:szCs w:val="20"/>
        </w:rPr>
        <w:t>Unidad Médica de Alta Especialidad (</w:t>
      </w:r>
      <w:r w:rsidRPr="00113DEA">
        <w:rPr>
          <w:rFonts w:ascii="Noto Sans" w:hAnsi="Noto Sans" w:cs="Noto Sans"/>
          <w:spacing w:val="-2"/>
          <w:sz w:val="20"/>
          <w:szCs w:val="20"/>
        </w:rPr>
        <w:t>UMAE</w:t>
      </w:r>
      <w:r w:rsidR="00117743">
        <w:rPr>
          <w:rFonts w:ascii="Noto Sans" w:hAnsi="Noto Sans" w:cs="Noto Sans"/>
          <w:spacing w:val="-2"/>
          <w:sz w:val="20"/>
          <w:szCs w:val="20"/>
        </w:rPr>
        <w:t>)</w:t>
      </w:r>
      <w:r w:rsidRPr="00113DEA">
        <w:rPr>
          <w:rFonts w:ascii="Noto Sans" w:hAnsi="Noto Sans" w:cs="Noto Sans"/>
          <w:spacing w:val="-2"/>
          <w:sz w:val="20"/>
          <w:szCs w:val="20"/>
        </w:rPr>
        <w:t xml:space="preserve"> Hospital de Especialidades 71 de Torreón.</w:t>
      </w:r>
    </w:p>
    <w:p w14:paraId="447ABCDD" w14:textId="77777777" w:rsidR="00113DEA" w:rsidRPr="00113DEA" w:rsidRDefault="00113DEA" w:rsidP="00113DEA">
      <w:pPr>
        <w:ind w:right="49"/>
        <w:jc w:val="both"/>
        <w:rPr>
          <w:rFonts w:ascii="Noto Sans" w:hAnsi="Noto Sans" w:cs="Noto Sans"/>
          <w:spacing w:val="-2"/>
          <w:sz w:val="20"/>
          <w:szCs w:val="20"/>
        </w:rPr>
      </w:pPr>
    </w:p>
    <w:p w14:paraId="33AC4660" w14:textId="578881E4" w:rsidR="00113DEA" w:rsidRPr="00113DEA" w:rsidRDefault="00117743" w:rsidP="00113DEA">
      <w:pPr>
        <w:ind w:right="49"/>
        <w:jc w:val="both"/>
        <w:rPr>
          <w:rFonts w:ascii="Noto Sans" w:hAnsi="Noto Sans" w:cs="Noto Sans"/>
          <w:spacing w:val="-2"/>
          <w:sz w:val="20"/>
          <w:szCs w:val="20"/>
        </w:rPr>
      </w:pPr>
      <w:r>
        <w:rPr>
          <w:rFonts w:ascii="Noto Sans" w:hAnsi="Noto Sans" w:cs="Noto Sans"/>
          <w:spacing w:val="-2"/>
          <w:sz w:val="20"/>
          <w:szCs w:val="20"/>
        </w:rPr>
        <w:t>R</w:t>
      </w:r>
      <w:r w:rsidR="00113DEA" w:rsidRPr="00113DEA">
        <w:rPr>
          <w:rFonts w:ascii="Noto Sans" w:hAnsi="Noto Sans" w:cs="Noto Sans"/>
          <w:spacing w:val="-2"/>
          <w:sz w:val="20"/>
          <w:szCs w:val="20"/>
        </w:rPr>
        <w:t>esaltó que estas pruebas son necesarias tanto para trasplantes de donante fallecido como de donante vivo y forman parte de las acciones para fortalecer la seguridad y favorecer la supervivencia del órgano trasplantado</w:t>
      </w:r>
      <w:r>
        <w:rPr>
          <w:rFonts w:ascii="Noto Sans" w:hAnsi="Noto Sans" w:cs="Noto Sans"/>
          <w:spacing w:val="-2"/>
          <w:sz w:val="20"/>
          <w:szCs w:val="20"/>
        </w:rPr>
        <w:t>;</w:t>
      </w:r>
      <w:r w:rsidR="004A3F72">
        <w:rPr>
          <w:rFonts w:ascii="Noto Sans" w:hAnsi="Noto Sans" w:cs="Noto Sans"/>
          <w:spacing w:val="-2"/>
          <w:sz w:val="20"/>
          <w:szCs w:val="20"/>
        </w:rPr>
        <w:t xml:space="preserve"> </w:t>
      </w:r>
      <w:r w:rsidR="00113DEA" w:rsidRPr="00113DEA">
        <w:rPr>
          <w:rFonts w:ascii="Noto Sans" w:hAnsi="Noto Sans" w:cs="Noto Sans"/>
          <w:spacing w:val="-2"/>
          <w:sz w:val="20"/>
          <w:szCs w:val="20"/>
        </w:rPr>
        <w:t>que una de las metas es ampliar la disponibilidad de estas evaluaciones en distintas regiones del país para acortar los tiempos del proceso.</w:t>
      </w:r>
    </w:p>
    <w:p w14:paraId="73148D6A" w14:textId="77777777" w:rsidR="00113DEA" w:rsidRPr="00113DEA" w:rsidRDefault="00113DEA" w:rsidP="00113DEA">
      <w:pPr>
        <w:ind w:right="49"/>
        <w:jc w:val="both"/>
        <w:rPr>
          <w:rFonts w:ascii="Noto Sans" w:hAnsi="Noto Sans" w:cs="Noto Sans"/>
          <w:spacing w:val="-2"/>
          <w:sz w:val="20"/>
          <w:szCs w:val="20"/>
        </w:rPr>
      </w:pPr>
    </w:p>
    <w:p w14:paraId="768212B7" w14:textId="5E5819D2" w:rsidR="00113DEA" w:rsidRPr="00113DEA" w:rsidRDefault="00113DEA" w:rsidP="00113DEA">
      <w:pPr>
        <w:ind w:right="49"/>
        <w:jc w:val="both"/>
        <w:rPr>
          <w:rFonts w:ascii="Noto Sans" w:hAnsi="Noto Sans" w:cs="Noto Sans"/>
          <w:spacing w:val="-2"/>
          <w:sz w:val="20"/>
          <w:szCs w:val="20"/>
        </w:rPr>
      </w:pPr>
      <w:r w:rsidRPr="00113DEA">
        <w:rPr>
          <w:rFonts w:ascii="Noto Sans" w:hAnsi="Noto Sans" w:cs="Noto Sans"/>
          <w:spacing w:val="-2"/>
          <w:sz w:val="20"/>
          <w:szCs w:val="20"/>
        </w:rPr>
        <w:t>La doctora Avilez Pacheco señaló que</w:t>
      </w:r>
      <w:r w:rsidR="004A3F72">
        <w:rPr>
          <w:rFonts w:ascii="Noto Sans" w:hAnsi="Noto Sans" w:cs="Noto Sans"/>
          <w:spacing w:val="-2"/>
          <w:sz w:val="20"/>
          <w:szCs w:val="20"/>
        </w:rPr>
        <w:t xml:space="preserve"> al momento </w:t>
      </w:r>
      <w:r w:rsidRPr="00113DEA">
        <w:rPr>
          <w:rFonts w:ascii="Noto Sans" w:hAnsi="Noto Sans" w:cs="Noto Sans"/>
          <w:spacing w:val="-2"/>
          <w:sz w:val="20"/>
          <w:szCs w:val="20"/>
        </w:rPr>
        <w:t xml:space="preserve">el IMSS </w:t>
      </w:r>
      <w:r w:rsidR="004A3F72">
        <w:rPr>
          <w:rFonts w:ascii="Noto Sans" w:hAnsi="Noto Sans" w:cs="Noto Sans"/>
          <w:spacing w:val="-2"/>
          <w:sz w:val="20"/>
          <w:szCs w:val="20"/>
        </w:rPr>
        <w:t xml:space="preserve">ha </w:t>
      </w:r>
      <w:r w:rsidRPr="00113DEA">
        <w:rPr>
          <w:rFonts w:ascii="Noto Sans" w:hAnsi="Noto Sans" w:cs="Noto Sans"/>
          <w:spacing w:val="-2"/>
          <w:sz w:val="20"/>
          <w:szCs w:val="20"/>
        </w:rPr>
        <w:t xml:space="preserve">concretado más de 800 trasplantes renales de donantes vivos y </w:t>
      </w:r>
      <w:r w:rsidR="00C101C9">
        <w:rPr>
          <w:rFonts w:ascii="Noto Sans" w:hAnsi="Noto Sans" w:cs="Noto Sans"/>
          <w:spacing w:val="-2"/>
          <w:sz w:val="20"/>
          <w:szCs w:val="20"/>
        </w:rPr>
        <w:t>cadavéricos</w:t>
      </w:r>
      <w:r w:rsidRPr="00113DEA">
        <w:rPr>
          <w:rFonts w:ascii="Noto Sans" w:hAnsi="Noto Sans" w:cs="Noto Sans"/>
          <w:spacing w:val="-2"/>
          <w:sz w:val="20"/>
          <w:szCs w:val="20"/>
        </w:rPr>
        <w:t xml:space="preserve">, procedimientos en los que las pruebas de histocompatibilidad son </w:t>
      </w:r>
      <w:r w:rsidR="00C101C9">
        <w:rPr>
          <w:rFonts w:ascii="Noto Sans" w:hAnsi="Noto Sans" w:cs="Noto Sans"/>
          <w:spacing w:val="-2"/>
          <w:sz w:val="20"/>
          <w:szCs w:val="20"/>
        </w:rPr>
        <w:t>indispensables</w:t>
      </w:r>
      <w:r w:rsidRPr="00113DEA">
        <w:rPr>
          <w:rFonts w:ascii="Noto Sans" w:hAnsi="Noto Sans" w:cs="Noto Sans"/>
          <w:spacing w:val="-2"/>
          <w:sz w:val="20"/>
          <w:szCs w:val="20"/>
        </w:rPr>
        <w:t xml:space="preserve"> para apoyar la decisión </w:t>
      </w:r>
      <w:r w:rsidR="00C101C9">
        <w:rPr>
          <w:rFonts w:ascii="Noto Sans" w:hAnsi="Noto Sans" w:cs="Noto Sans"/>
          <w:spacing w:val="-2"/>
          <w:sz w:val="20"/>
          <w:szCs w:val="20"/>
        </w:rPr>
        <w:t xml:space="preserve">del médico de la persona que será </w:t>
      </w:r>
      <w:r w:rsidRPr="00113DEA">
        <w:rPr>
          <w:rFonts w:ascii="Noto Sans" w:hAnsi="Noto Sans" w:cs="Noto Sans"/>
          <w:spacing w:val="-2"/>
          <w:sz w:val="20"/>
          <w:szCs w:val="20"/>
        </w:rPr>
        <w:t xml:space="preserve">el </w:t>
      </w:r>
      <w:r w:rsidR="00C101C9">
        <w:rPr>
          <w:rFonts w:ascii="Noto Sans" w:hAnsi="Noto Sans" w:cs="Noto Sans"/>
          <w:spacing w:val="-2"/>
          <w:sz w:val="20"/>
          <w:szCs w:val="20"/>
        </w:rPr>
        <w:t xml:space="preserve">mejor </w:t>
      </w:r>
      <w:r w:rsidRPr="00113DEA">
        <w:rPr>
          <w:rFonts w:ascii="Noto Sans" w:hAnsi="Noto Sans" w:cs="Noto Sans"/>
          <w:spacing w:val="-2"/>
          <w:sz w:val="20"/>
          <w:szCs w:val="20"/>
        </w:rPr>
        <w:t>receptor del órgano.</w:t>
      </w:r>
    </w:p>
    <w:p w14:paraId="7714F661" w14:textId="77777777" w:rsidR="00113DEA" w:rsidRPr="00113DEA" w:rsidRDefault="00113DEA" w:rsidP="00113DEA">
      <w:pPr>
        <w:ind w:right="49"/>
        <w:jc w:val="both"/>
        <w:rPr>
          <w:rFonts w:ascii="Noto Sans" w:hAnsi="Noto Sans" w:cs="Noto Sans"/>
          <w:spacing w:val="-2"/>
          <w:sz w:val="20"/>
          <w:szCs w:val="20"/>
        </w:rPr>
      </w:pPr>
    </w:p>
    <w:p w14:paraId="39201C36" w14:textId="4016010E" w:rsidR="004777CB" w:rsidRDefault="00C101C9" w:rsidP="00113DEA">
      <w:pPr>
        <w:ind w:right="49"/>
        <w:jc w:val="both"/>
        <w:rPr>
          <w:rFonts w:ascii="Noto Sans" w:hAnsi="Noto Sans" w:cs="Noto Sans"/>
          <w:spacing w:val="-2"/>
          <w:sz w:val="20"/>
          <w:szCs w:val="20"/>
        </w:rPr>
      </w:pPr>
      <w:r>
        <w:rPr>
          <w:rFonts w:ascii="Noto Sans" w:hAnsi="Noto Sans" w:cs="Noto Sans"/>
          <w:spacing w:val="-2"/>
          <w:sz w:val="20"/>
          <w:szCs w:val="20"/>
        </w:rPr>
        <w:t>A</w:t>
      </w:r>
      <w:r w:rsidR="00113DEA" w:rsidRPr="00113DEA">
        <w:rPr>
          <w:rFonts w:ascii="Noto Sans" w:hAnsi="Noto Sans" w:cs="Noto Sans"/>
          <w:spacing w:val="-2"/>
          <w:sz w:val="20"/>
          <w:szCs w:val="20"/>
        </w:rPr>
        <w:t>mbas especialistas coincidieron en que la tecnología debe ir acompañada de personal capacitado para interpretar los resultados y entregar información oportuna y confiable</w:t>
      </w:r>
      <w:r w:rsidR="00DA6613">
        <w:rPr>
          <w:rFonts w:ascii="Noto Sans" w:hAnsi="Noto Sans" w:cs="Noto Sans"/>
          <w:spacing w:val="-2"/>
          <w:sz w:val="20"/>
          <w:szCs w:val="20"/>
        </w:rPr>
        <w:t>;</w:t>
      </w:r>
      <w:r w:rsidR="00113DEA" w:rsidRPr="00113DEA">
        <w:rPr>
          <w:rFonts w:ascii="Noto Sans" w:hAnsi="Noto Sans" w:cs="Noto Sans"/>
          <w:spacing w:val="-2"/>
          <w:sz w:val="20"/>
          <w:szCs w:val="20"/>
        </w:rPr>
        <w:t xml:space="preserve"> </w:t>
      </w:r>
      <w:r w:rsidR="00DA6613">
        <w:rPr>
          <w:rFonts w:ascii="Noto Sans" w:hAnsi="Noto Sans" w:cs="Noto Sans"/>
          <w:spacing w:val="-2"/>
          <w:sz w:val="20"/>
          <w:szCs w:val="20"/>
        </w:rPr>
        <w:t>e</w:t>
      </w:r>
      <w:r w:rsidR="00113DEA" w:rsidRPr="00113DEA">
        <w:rPr>
          <w:rFonts w:ascii="Noto Sans" w:hAnsi="Noto Sans" w:cs="Noto Sans"/>
          <w:spacing w:val="-2"/>
          <w:sz w:val="20"/>
          <w:szCs w:val="20"/>
        </w:rPr>
        <w:t>l objetivo es avanzar hacia una evaluación cada vez más precisa, reducir el riesgo de rechazo y brindar mayores oportunidades a las personas que esperan un trasplante</w:t>
      </w:r>
      <w:r w:rsidR="00DA6613">
        <w:rPr>
          <w:rFonts w:ascii="Noto Sans" w:hAnsi="Noto Sans" w:cs="Noto Sans"/>
          <w:spacing w:val="-2"/>
          <w:sz w:val="20"/>
          <w:szCs w:val="20"/>
        </w:rPr>
        <w:t>, al tiempo de reducir la lista de espera</w:t>
      </w:r>
      <w:r w:rsidR="00113DEA" w:rsidRPr="00113DEA">
        <w:rPr>
          <w:rFonts w:ascii="Noto Sans" w:hAnsi="Noto Sans" w:cs="Noto Sans"/>
          <w:spacing w:val="-2"/>
          <w:sz w:val="20"/>
          <w:szCs w:val="20"/>
        </w:rPr>
        <w:t>.</w:t>
      </w:r>
    </w:p>
    <w:p w14:paraId="29E859DF" w14:textId="77777777" w:rsidR="00113DEA" w:rsidRDefault="00113DEA" w:rsidP="00113DEA">
      <w:pPr>
        <w:ind w:right="49"/>
        <w:jc w:val="both"/>
        <w:rPr>
          <w:rFonts w:ascii="Noto Sans" w:hAnsi="Noto Sans" w:cs="Noto Sans"/>
          <w:spacing w:val="-2"/>
          <w:sz w:val="20"/>
          <w:szCs w:val="20"/>
        </w:rPr>
      </w:pPr>
    </w:p>
    <w:p w14:paraId="10F9553F" w14:textId="62BBA6D9" w:rsidR="008655B1" w:rsidRDefault="00DC1EEB" w:rsidP="00CD5121">
      <w:pPr>
        <w:ind w:right="49"/>
        <w:jc w:val="center"/>
        <w:rPr>
          <w:rFonts w:ascii="Noto Sans" w:hAnsi="Noto Sans" w:cs="Noto Sans"/>
          <w:b/>
          <w:bCs/>
          <w:sz w:val="20"/>
          <w:szCs w:val="20"/>
        </w:rPr>
      </w:pPr>
      <w:r w:rsidRPr="007C3594">
        <w:rPr>
          <w:rFonts w:ascii="Noto Sans" w:hAnsi="Noto Sans" w:cs="Noto Sans"/>
          <w:b/>
          <w:bCs/>
          <w:sz w:val="20"/>
          <w:szCs w:val="20"/>
        </w:rPr>
        <w:t>---</w:t>
      </w:r>
      <w:r w:rsidR="00C63D43" w:rsidRPr="007C3594">
        <w:rPr>
          <w:rFonts w:ascii="Noto Sans" w:hAnsi="Noto Sans" w:cs="Noto Sans"/>
          <w:b/>
          <w:bCs/>
          <w:sz w:val="20"/>
          <w:szCs w:val="20"/>
        </w:rPr>
        <w:t xml:space="preserve"> </w:t>
      </w:r>
      <w:r w:rsidRPr="007C3594">
        <w:rPr>
          <w:rFonts w:ascii="Noto Sans" w:hAnsi="Noto Sans" w:cs="Noto Sans"/>
          <w:b/>
          <w:bCs/>
          <w:sz w:val="20"/>
          <w:szCs w:val="20"/>
        </w:rPr>
        <w:t>o0o</w:t>
      </w:r>
      <w:r w:rsidR="00C63D43" w:rsidRPr="007C3594">
        <w:rPr>
          <w:rFonts w:ascii="Noto Sans" w:hAnsi="Noto Sans" w:cs="Noto Sans"/>
          <w:b/>
          <w:bCs/>
          <w:sz w:val="20"/>
          <w:szCs w:val="20"/>
        </w:rPr>
        <w:t xml:space="preserve"> </w:t>
      </w:r>
      <w:r w:rsidRPr="007C3594">
        <w:rPr>
          <w:rFonts w:ascii="Noto Sans" w:hAnsi="Noto Sans" w:cs="Noto Sans"/>
          <w:b/>
          <w:bCs/>
          <w:sz w:val="20"/>
          <w:szCs w:val="20"/>
        </w:rPr>
        <w:t>---</w:t>
      </w:r>
    </w:p>
    <w:p w14:paraId="11A12785" w14:textId="77777777" w:rsidR="008F1E80" w:rsidRDefault="008F1E80" w:rsidP="008F1E80">
      <w:pPr>
        <w:ind w:right="49"/>
        <w:rPr>
          <w:rFonts w:ascii="Noto Sans" w:hAnsi="Noto Sans" w:cs="Noto Sans"/>
          <w:b/>
          <w:bCs/>
          <w:sz w:val="20"/>
          <w:szCs w:val="20"/>
        </w:rPr>
      </w:pPr>
    </w:p>
    <w:sectPr w:rsidR="008F1E80" w:rsidSect="009A61EA">
      <w:headerReference w:type="default" r:id="rId8"/>
      <w:pgSz w:w="12240" w:h="15840"/>
      <w:pgMar w:top="2127" w:right="1077" w:bottom="1702"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33C7ED" w14:textId="77777777" w:rsidR="004979BD" w:rsidRDefault="004979BD" w:rsidP="00A73D65">
      <w:r>
        <w:separator/>
      </w:r>
    </w:p>
  </w:endnote>
  <w:endnote w:type="continuationSeparator" w:id="0">
    <w:p w14:paraId="7B7EA135" w14:textId="77777777" w:rsidR="004979BD" w:rsidRDefault="004979BD" w:rsidP="00A73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Yu Mincho">
    <w:charset w:val="80"/>
    <w:family w:val="roman"/>
    <w:pitch w:val="variable"/>
    <w:sig w:usb0="800002E7" w:usb1="2AC7FCFF" w:usb2="00000012" w:usb3="00000000" w:csb0="0002009F" w:csb1="00000000"/>
  </w:font>
  <w:font w:name="Noto Sans">
    <w:altName w:val="Nirmala UI"/>
    <w:charset w:val="00"/>
    <w:family w:val="swiss"/>
    <w:pitch w:val="variable"/>
    <w:sig w:usb0="E00082FF" w:usb1="400078FF" w:usb2="00000021" w:usb3="00000000" w:csb0="0000019F" w:csb1="00000000"/>
  </w:font>
  <w:font w:name="Geomanist">
    <w:altName w:val="Calibri"/>
    <w:panose1 w:val="00000000000000000000"/>
    <w:charset w:val="00"/>
    <w:family w:val="modern"/>
    <w:notTrueType/>
    <w:pitch w:val="variable"/>
    <w:sig w:usb0="A000002F" w:usb1="1000004A" w:usb2="00000000" w:usb3="00000000" w:csb0="00000193" w:csb1="00000000"/>
  </w:font>
  <w:font w:name="Montserrat Medium">
    <w:charset w:val="00"/>
    <w:family w:val="auto"/>
    <w:pitch w:val="variable"/>
    <w:sig w:usb0="2000020F" w:usb1="00000003" w:usb2="00000000" w:usb3="00000000" w:csb0="00000197"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7C68BE" w14:textId="77777777" w:rsidR="004979BD" w:rsidRDefault="004979BD" w:rsidP="00A73D65">
      <w:r>
        <w:separator/>
      </w:r>
    </w:p>
  </w:footnote>
  <w:footnote w:type="continuationSeparator" w:id="0">
    <w:p w14:paraId="78EF77AE" w14:textId="77777777" w:rsidR="004979BD" w:rsidRDefault="004979BD" w:rsidP="00A73D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1E181" w14:textId="37A6FCD7" w:rsidR="00A73D65" w:rsidRDefault="00F33C47">
    <w:pPr>
      <w:pStyle w:val="Encabezado"/>
    </w:pPr>
    <w:r>
      <w:rPr>
        <w:noProof/>
        <w:lang w:val="es-MX" w:eastAsia="es-MX"/>
      </w:rPr>
      <w:drawing>
        <wp:anchor distT="0" distB="0" distL="114300" distR="114300" simplePos="0" relativeHeight="251658240" behindDoc="1" locked="0" layoutInCell="1" allowOverlap="1" wp14:anchorId="1C3E84EC" wp14:editId="36AE3F70">
          <wp:simplePos x="0" y="0"/>
          <wp:positionH relativeFrom="column">
            <wp:posOffset>-765810</wp:posOffset>
          </wp:positionH>
          <wp:positionV relativeFrom="paragraph">
            <wp:posOffset>-379107</wp:posOffset>
          </wp:positionV>
          <wp:extent cx="7800230" cy="10094052"/>
          <wp:effectExtent l="0" t="0" r="0" b="2540"/>
          <wp:wrapNone/>
          <wp:docPr id="61386197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098949" name="Imagen 1752098949"/>
                  <pic:cNvPicPr/>
                </pic:nvPicPr>
                <pic:blipFill>
                  <a:blip r:embed="rId1"/>
                  <a:stretch>
                    <a:fillRect/>
                  </a:stretch>
                </pic:blipFill>
                <pic:spPr>
                  <a:xfrm>
                    <a:off x="0" y="0"/>
                    <a:ext cx="7800230" cy="10094052"/>
                  </a:xfrm>
                  <a:prstGeom prst="rect">
                    <a:avLst/>
                  </a:prstGeom>
                </pic:spPr>
              </pic:pic>
            </a:graphicData>
          </a:graphic>
          <wp14:sizeRelH relativeFrom="page">
            <wp14:pctWidth>0</wp14:pctWidth>
          </wp14:sizeRelH>
          <wp14:sizeRelV relativeFrom="page">
            <wp14:pctHeight>0</wp14:pctHeight>
          </wp14:sizeRelV>
        </wp:anchor>
      </w:drawing>
    </w:r>
  </w:p>
  <w:p w14:paraId="16970276" w14:textId="77777777" w:rsidR="006C3785" w:rsidRDefault="006C378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22701"/>
    <w:multiLevelType w:val="hybridMultilevel"/>
    <w:tmpl w:val="4A46F318"/>
    <w:lvl w:ilvl="0" w:tplc="080A0001">
      <w:start w:val="1"/>
      <w:numFmt w:val="bullet"/>
      <w:lvlText w:val=""/>
      <w:lvlJc w:val="left"/>
      <w:pPr>
        <w:ind w:left="709" w:hanging="360"/>
      </w:pPr>
      <w:rPr>
        <w:rFonts w:ascii="Symbol" w:hAnsi="Symbol" w:hint="default"/>
      </w:rPr>
    </w:lvl>
    <w:lvl w:ilvl="1" w:tplc="080A0003" w:tentative="1">
      <w:start w:val="1"/>
      <w:numFmt w:val="bullet"/>
      <w:lvlText w:val="o"/>
      <w:lvlJc w:val="left"/>
      <w:pPr>
        <w:ind w:left="1429" w:hanging="360"/>
      </w:pPr>
      <w:rPr>
        <w:rFonts w:ascii="Courier New" w:hAnsi="Courier New" w:cs="Courier New" w:hint="default"/>
      </w:rPr>
    </w:lvl>
    <w:lvl w:ilvl="2" w:tplc="080A0005" w:tentative="1">
      <w:start w:val="1"/>
      <w:numFmt w:val="bullet"/>
      <w:lvlText w:val=""/>
      <w:lvlJc w:val="left"/>
      <w:pPr>
        <w:ind w:left="2149" w:hanging="360"/>
      </w:pPr>
      <w:rPr>
        <w:rFonts w:ascii="Wingdings" w:hAnsi="Wingdings" w:hint="default"/>
      </w:rPr>
    </w:lvl>
    <w:lvl w:ilvl="3" w:tplc="080A0001" w:tentative="1">
      <w:start w:val="1"/>
      <w:numFmt w:val="bullet"/>
      <w:lvlText w:val=""/>
      <w:lvlJc w:val="left"/>
      <w:pPr>
        <w:ind w:left="2869" w:hanging="360"/>
      </w:pPr>
      <w:rPr>
        <w:rFonts w:ascii="Symbol" w:hAnsi="Symbol" w:hint="default"/>
      </w:rPr>
    </w:lvl>
    <w:lvl w:ilvl="4" w:tplc="080A0003" w:tentative="1">
      <w:start w:val="1"/>
      <w:numFmt w:val="bullet"/>
      <w:lvlText w:val="o"/>
      <w:lvlJc w:val="left"/>
      <w:pPr>
        <w:ind w:left="3589" w:hanging="360"/>
      </w:pPr>
      <w:rPr>
        <w:rFonts w:ascii="Courier New" w:hAnsi="Courier New" w:cs="Courier New" w:hint="default"/>
      </w:rPr>
    </w:lvl>
    <w:lvl w:ilvl="5" w:tplc="080A0005" w:tentative="1">
      <w:start w:val="1"/>
      <w:numFmt w:val="bullet"/>
      <w:lvlText w:val=""/>
      <w:lvlJc w:val="left"/>
      <w:pPr>
        <w:ind w:left="4309" w:hanging="360"/>
      </w:pPr>
      <w:rPr>
        <w:rFonts w:ascii="Wingdings" w:hAnsi="Wingdings" w:hint="default"/>
      </w:rPr>
    </w:lvl>
    <w:lvl w:ilvl="6" w:tplc="080A0001" w:tentative="1">
      <w:start w:val="1"/>
      <w:numFmt w:val="bullet"/>
      <w:lvlText w:val=""/>
      <w:lvlJc w:val="left"/>
      <w:pPr>
        <w:ind w:left="5029" w:hanging="360"/>
      </w:pPr>
      <w:rPr>
        <w:rFonts w:ascii="Symbol" w:hAnsi="Symbol" w:hint="default"/>
      </w:rPr>
    </w:lvl>
    <w:lvl w:ilvl="7" w:tplc="080A0003" w:tentative="1">
      <w:start w:val="1"/>
      <w:numFmt w:val="bullet"/>
      <w:lvlText w:val="o"/>
      <w:lvlJc w:val="left"/>
      <w:pPr>
        <w:ind w:left="5749" w:hanging="360"/>
      </w:pPr>
      <w:rPr>
        <w:rFonts w:ascii="Courier New" w:hAnsi="Courier New" w:cs="Courier New" w:hint="default"/>
      </w:rPr>
    </w:lvl>
    <w:lvl w:ilvl="8" w:tplc="080A0005" w:tentative="1">
      <w:start w:val="1"/>
      <w:numFmt w:val="bullet"/>
      <w:lvlText w:val=""/>
      <w:lvlJc w:val="left"/>
      <w:pPr>
        <w:ind w:left="6469" w:hanging="360"/>
      </w:pPr>
      <w:rPr>
        <w:rFonts w:ascii="Wingdings" w:hAnsi="Wingdings" w:hint="default"/>
      </w:rPr>
    </w:lvl>
  </w:abstractNum>
  <w:abstractNum w:abstractNumId="1" w15:restartNumberingAfterBreak="0">
    <w:nsid w:val="200101C9"/>
    <w:multiLevelType w:val="hybridMultilevel"/>
    <w:tmpl w:val="B19ADF5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2E0A6A60"/>
    <w:multiLevelType w:val="hybridMultilevel"/>
    <w:tmpl w:val="657EEBCA"/>
    <w:lvl w:ilvl="0" w:tplc="080A0001">
      <w:start w:val="1"/>
      <w:numFmt w:val="bullet"/>
      <w:lvlText w:val=""/>
      <w:lvlJc w:val="left"/>
      <w:pPr>
        <w:ind w:left="1596" w:hanging="360"/>
      </w:pPr>
      <w:rPr>
        <w:rFonts w:ascii="Symbol" w:hAnsi="Symbol" w:hint="default"/>
      </w:rPr>
    </w:lvl>
    <w:lvl w:ilvl="1" w:tplc="080A0003" w:tentative="1">
      <w:start w:val="1"/>
      <w:numFmt w:val="bullet"/>
      <w:lvlText w:val="o"/>
      <w:lvlJc w:val="left"/>
      <w:pPr>
        <w:ind w:left="2316" w:hanging="360"/>
      </w:pPr>
      <w:rPr>
        <w:rFonts w:ascii="Courier New" w:hAnsi="Courier New" w:cs="Courier New" w:hint="default"/>
      </w:rPr>
    </w:lvl>
    <w:lvl w:ilvl="2" w:tplc="080A0005" w:tentative="1">
      <w:start w:val="1"/>
      <w:numFmt w:val="bullet"/>
      <w:lvlText w:val=""/>
      <w:lvlJc w:val="left"/>
      <w:pPr>
        <w:ind w:left="3036" w:hanging="360"/>
      </w:pPr>
      <w:rPr>
        <w:rFonts w:ascii="Wingdings" w:hAnsi="Wingdings" w:hint="default"/>
      </w:rPr>
    </w:lvl>
    <w:lvl w:ilvl="3" w:tplc="080A0001" w:tentative="1">
      <w:start w:val="1"/>
      <w:numFmt w:val="bullet"/>
      <w:lvlText w:val=""/>
      <w:lvlJc w:val="left"/>
      <w:pPr>
        <w:ind w:left="3756" w:hanging="360"/>
      </w:pPr>
      <w:rPr>
        <w:rFonts w:ascii="Symbol" w:hAnsi="Symbol" w:hint="default"/>
      </w:rPr>
    </w:lvl>
    <w:lvl w:ilvl="4" w:tplc="080A0003" w:tentative="1">
      <w:start w:val="1"/>
      <w:numFmt w:val="bullet"/>
      <w:lvlText w:val="o"/>
      <w:lvlJc w:val="left"/>
      <w:pPr>
        <w:ind w:left="4476" w:hanging="360"/>
      </w:pPr>
      <w:rPr>
        <w:rFonts w:ascii="Courier New" w:hAnsi="Courier New" w:cs="Courier New" w:hint="default"/>
      </w:rPr>
    </w:lvl>
    <w:lvl w:ilvl="5" w:tplc="080A0005" w:tentative="1">
      <w:start w:val="1"/>
      <w:numFmt w:val="bullet"/>
      <w:lvlText w:val=""/>
      <w:lvlJc w:val="left"/>
      <w:pPr>
        <w:ind w:left="5196" w:hanging="360"/>
      </w:pPr>
      <w:rPr>
        <w:rFonts w:ascii="Wingdings" w:hAnsi="Wingdings" w:hint="default"/>
      </w:rPr>
    </w:lvl>
    <w:lvl w:ilvl="6" w:tplc="080A0001" w:tentative="1">
      <w:start w:val="1"/>
      <w:numFmt w:val="bullet"/>
      <w:lvlText w:val=""/>
      <w:lvlJc w:val="left"/>
      <w:pPr>
        <w:ind w:left="5916" w:hanging="360"/>
      </w:pPr>
      <w:rPr>
        <w:rFonts w:ascii="Symbol" w:hAnsi="Symbol" w:hint="default"/>
      </w:rPr>
    </w:lvl>
    <w:lvl w:ilvl="7" w:tplc="080A0003" w:tentative="1">
      <w:start w:val="1"/>
      <w:numFmt w:val="bullet"/>
      <w:lvlText w:val="o"/>
      <w:lvlJc w:val="left"/>
      <w:pPr>
        <w:ind w:left="6636" w:hanging="360"/>
      </w:pPr>
      <w:rPr>
        <w:rFonts w:ascii="Courier New" w:hAnsi="Courier New" w:cs="Courier New" w:hint="default"/>
      </w:rPr>
    </w:lvl>
    <w:lvl w:ilvl="8" w:tplc="080A0005" w:tentative="1">
      <w:start w:val="1"/>
      <w:numFmt w:val="bullet"/>
      <w:lvlText w:val=""/>
      <w:lvlJc w:val="left"/>
      <w:pPr>
        <w:ind w:left="7356" w:hanging="360"/>
      </w:pPr>
      <w:rPr>
        <w:rFonts w:ascii="Wingdings" w:hAnsi="Wingdings" w:hint="default"/>
      </w:rPr>
    </w:lvl>
  </w:abstractNum>
  <w:abstractNum w:abstractNumId="3" w15:restartNumberingAfterBreak="0">
    <w:nsid w:val="47141376"/>
    <w:multiLevelType w:val="hybridMultilevel"/>
    <w:tmpl w:val="99F61EC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4D7708B6"/>
    <w:multiLevelType w:val="hybridMultilevel"/>
    <w:tmpl w:val="546AE28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420762954">
    <w:abstractNumId w:val="0"/>
  </w:num>
  <w:num w:numId="2" w16cid:durableId="1835022351">
    <w:abstractNumId w:val="1"/>
  </w:num>
  <w:num w:numId="3" w16cid:durableId="1518972">
    <w:abstractNumId w:val="2"/>
  </w:num>
  <w:num w:numId="4" w16cid:durableId="42481788">
    <w:abstractNumId w:val="4"/>
  </w:num>
  <w:num w:numId="5" w16cid:durableId="1464805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16E"/>
    <w:rsid w:val="0000080C"/>
    <w:rsid w:val="00001DA9"/>
    <w:rsid w:val="00002060"/>
    <w:rsid w:val="00002639"/>
    <w:rsid w:val="0000293A"/>
    <w:rsid w:val="000033FC"/>
    <w:rsid w:val="00005E5F"/>
    <w:rsid w:val="00006787"/>
    <w:rsid w:val="00006E61"/>
    <w:rsid w:val="00007681"/>
    <w:rsid w:val="00007C8C"/>
    <w:rsid w:val="0001143A"/>
    <w:rsid w:val="000145D4"/>
    <w:rsid w:val="00017B27"/>
    <w:rsid w:val="00017BE3"/>
    <w:rsid w:val="00022AFD"/>
    <w:rsid w:val="000259DE"/>
    <w:rsid w:val="00027FB4"/>
    <w:rsid w:val="00030F9B"/>
    <w:rsid w:val="0003130A"/>
    <w:rsid w:val="00031DE9"/>
    <w:rsid w:val="000325E1"/>
    <w:rsid w:val="00032B76"/>
    <w:rsid w:val="000339DF"/>
    <w:rsid w:val="00035E42"/>
    <w:rsid w:val="00036925"/>
    <w:rsid w:val="00037E7F"/>
    <w:rsid w:val="000400C6"/>
    <w:rsid w:val="00041BD1"/>
    <w:rsid w:val="0004247A"/>
    <w:rsid w:val="00044045"/>
    <w:rsid w:val="00045999"/>
    <w:rsid w:val="000461D2"/>
    <w:rsid w:val="00047303"/>
    <w:rsid w:val="00050AAF"/>
    <w:rsid w:val="000517B9"/>
    <w:rsid w:val="00054B90"/>
    <w:rsid w:val="00054FDD"/>
    <w:rsid w:val="00070403"/>
    <w:rsid w:val="0007083D"/>
    <w:rsid w:val="000728CA"/>
    <w:rsid w:val="00076285"/>
    <w:rsid w:val="00076E0F"/>
    <w:rsid w:val="000867E6"/>
    <w:rsid w:val="00086944"/>
    <w:rsid w:val="00086D02"/>
    <w:rsid w:val="000901A6"/>
    <w:rsid w:val="0009124D"/>
    <w:rsid w:val="0009225A"/>
    <w:rsid w:val="00097F1B"/>
    <w:rsid w:val="000A09C1"/>
    <w:rsid w:val="000A141E"/>
    <w:rsid w:val="000A34EF"/>
    <w:rsid w:val="000A408C"/>
    <w:rsid w:val="000A6EB6"/>
    <w:rsid w:val="000B071B"/>
    <w:rsid w:val="000B7FCF"/>
    <w:rsid w:val="000C0D18"/>
    <w:rsid w:val="000C14FA"/>
    <w:rsid w:val="000C3826"/>
    <w:rsid w:val="000C45A0"/>
    <w:rsid w:val="000C4FB0"/>
    <w:rsid w:val="000D4920"/>
    <w:rsid w:val="000D6C22"/>
    <w:rsid w:val="000D799D"/>
    <w:rsid w:val="000D7DF7"/>
    <w:rsid w:val="000E0339"/>
    <w:rsid w:val="000E2D94"/>
    <w:rsid w:val="000E33B6"/>
    <w:rsid w:val="000E352E"/>
    <w:rsid w:val="000E5D1C"/>
    <w:rsid w:val="000F3969"/>
    <w:rsid w:val="000F3BC8"/>
    <w:rsid w:val="000F7423"/>
    <w:rsid w:val="001022EE"/>
    <w:rsid w:val="00102B4B"/>
    <w:rsid w:val="00106E0E"/>
    <w:rsid w:val="0010741F"/>
    <w:rsid w:val="00110861"/>
    <w:rsid w:val="00112062"/>
    <w:rsid w:val="00112BDC"/>
    <w:rsid w:val="0011340B"/>
    <w:rsid w:val="00113DEA"/>
    <w:rsid w:val="00117614"/>
    <w:rsid w:val="00117743"/>
    <w:rsid w:val="001201A4"/>
    <w:rsid w:val="00121BE1"/>
    <w:rsid w:val="00122977"/>
    <w:rsid w:val="00123FBF"/>
    <w:rsid w:val="00131630"/>
    <w:rsid w:val="00132439"/>
    <w:rsid w:val="0013313C"/>
    <w:rsid w:val="00135D25"/>
    <w:rsid w:val="001377D5"/>
    <w:rsid w:val="00137933"/>
    <w:rsid w:val="00137CC7"/>
    <w:rsid w:val="00140DE2"/>
    <w:rsid w:val="00141D49"/>
    <w:rsid w:val="001428C4"/>
    <w:rsid w:val="00144E17"/>
    <w:rsid w:val="0014547C"/>
    <w:rsid w:val="00146AD1"/>
    <w:rsid w:val="00146ADC"/>
    <w:rsid w:val="00151B19"/>
    <w:rsid w:val="001526CC"/>
    <w:rsid w:val="00154113"/>
    <w:rsid w:val="0015506D"/>
    <w:rsid w:val="001556A3"/>
    <w:rsid w:val="0015608D"/>
    <w:rsid w:val="00156149"/>
    <w:rsid w:val="00156A3E"/>
    <w:rsid w:val="00160F5E"/>
    <w:rsid w:val="00161740"/>
    <w:rsid w:val="0016179D"/>
    <w:rsid w:val="00161935"/>
    <w:rsid w:val="00161A6A"/>
    <w:rsid w:val="001664EE"/>
    <w:rsid w:val="0016665F"/>
    <w:rsid w:val="001675C4"/>
    <w:rsid w:val="0017277C"/>
    <w:rsid w:val="00177FE5"/>
    <w:rsid w:val="00180A38"/>
    <w:rsid w:val="0018328B"/>
    <w:rsid w:val="00184325"/>
    <w:rsid w:val="001844BF"/>
    <w:rsid w:val="0018562C"/>
    <w:rsid w:val="001869F6"/>
    <w:rsid w:val="0019184C"/>
    <w:rsid w:val="00195022"/>
    <w:rsid w:val="00196E36"/>
    <w:rsid w:val="00196EF5"/>
    <w:rsid w:val="001974E1"/>
    <w:rsid w:val="001A037E"/>
    <w:rsid w:val="001A1A28"/>
    <w:rsid w:val="001A22B6"/>
    <w:rsid w:val="001A2A96"/>
    <w:rsid w:val="001A5792"/>
    <w:rsid w:val="001B20C7"/>
    <w:rsid w:val="001B4F18"/>
    <w:rsid w:val="001B6320"/>
    <w:rsid w:val="001B6A40"/>
    <w:rsid w:val="001C6D6A"/>
    <w:rsid w:val="001D2869"/>
    <w:rsid w:val="001D337C"/>
    <w:rsid w:val="001D3694"/>
    <w:rsid w:val="001D4EF5"/>
    <w:rsid w:val="001D58F8"/>
    <w:rsid w:val="001E0308"/>
    <w:rsid w:val="001E3B60"/>
    <w:rsid w:val="001E6299"/>
    <w:rsid w:val="001E6837"/>
    <w:rsid w:val="001E7439"/>
    <w:rsid w:val="001F0E77"/>
    <w:rsid w:val="001F2BAD"/>
    <w:rsid w:val="001F5986"/>
    <w:rsid w:val="001F6AC7"/>
    <w:rsid w:val="001F78F2"/>
    <w:rsid w:val="002013C9"/>
    <w:rsid w:val="00201E57"/>
    <w:rsid w:val="00202D55"/>
    <w:rsid w:val="00203758"/>
    <w:rsid w:val="0020548E"/>
    <w:rsid w:val="00205CE9"/>
    <w:rsid w:val="00211B92"/>
    <w:rsid w:val="002162DA"/>
    <w:rsid w:val="0021642B"/>
    <w:rsid w:val="00216673"/>
    <w:rsid w:val="00216E25"/>
    <w:rsid w:val="002172A0"/>
    <w:rsid w:val="00221EBF"/>
    <w:rsid w:val="00223CA7"/>
    <w:rsid w:val="00225830"/>
    <w:rsid w:val="00226565"/>
    <w:rsid w:val="00226A64"/>
    <w:rsid w:val="002311B3"/>
    <w:rsid w:val="002315EF"/>
    <w:rsid w:val="00233015"/>
    <w:rsid w:val="00237D4B"/>
    <w:rsid w:val="00240908"/>
    <w:rsid w:val="002477CF"/>
    <w:rsid w:val="00247ACA"/>
    <w:rsid w:val="00251552"/>
    <w:rsid w:val="00255C5B"/>
    <w:rsid w:val="00255D1E"/>
    <w:rsid w:val="002563C6"/>
    <w:rsid w:val="00256B1D"/>
    <w:rsid w:val="00263C16"/>
    <w:rsid w:val="0026616C"/>
    <w:rsid w:val="0027249C"/>
    <w:rsid w:val="00273A0B"/>
    <w:rsid w:val="00275520"/>
    <w:rsid w:val="002762EC"/>
    <w:rsid w:val="00282132"/>
    <w:rsid w:val="00293AF0"/>
    <w:rsid w:val="0029542D"/>
    <w:rsid w:val="00296432"/>
    <w:rsid w:val="0029735C"/>
    <w:rsid w:val="002A445B"/>
    <w:rsid w:val="002A6623"/>
    <w:rsid w:val="002A7217"/>
    <w:rsid w:val="002B00C9"/>
    <w:rsid w:val="002B0762"/>
    <w:rsid w:val="002B646A"/>
    <w:rsid w:val="002C1AE1"/>
    <w:rsid w:val="002C200E"/>
    <w:rsid w:val="002C33F6"/>
    <w:rsid w:val="002C3CFA"/>
    <w:rsid w:val="002C3E49"/>
    <w:rsid w:val="002C4304"/>
    <w:rsid w:val="002C5BC6"/>
    <w:rsid w:val="002C60A9"/>
    <w:rsid w:val="002D17BA"/>
    <w:rsid w:val="002D2370"/>
    <w:rsid w:val="002D2666"/>
    <w:rsid w:val="002D56D1"/>
    <w:rsid w:val="002D62DC"/>
    <w:rsid w:val="002D76F0"/>
    <w:rsid w:val="002E11C3"/>
    <w:rsid w:val="002E2089"/>
    <w:rsid w:val="002E2142"/>
    <w:rsid w:val="002E2F4D"/>
    <w:rsid w:val="002E3DE1"/>
    <w:rsid w:val="002E485A"/>
    <w:rsid w:val="002E4A00"/>
    <w:rsid w:val="002E596C"/>
    <w:rsid w:val="002E5FC7"/>
    <w:rsid w:val="002E6037"/>
    <w:rsid w:val="002E626D"/>
    <w:rsid w:val="002F146E"/>
    <w:rsid w:val="002F1C7F"/>
    <w:rsid w:val="002F2EEB"/>
    <w:rsid w:val="002F7564"/>
    <w:rsid w:val="0030323A"/>
    <w:rsid w:val="003041D3"/>
    <w:rsid w:val="003041D9"/>
    <w:rsid w:val="0030476A"/>
    <w:rsid w:val="003064B1"/>
    <w:rsid w:val="003078BB"/>
    <w:rsid w:val="00311F45"/>
    <w:rsid w:val="0031278E"/>
    <w:rsid w:val="00312B3B"/>
    <w:rsid w:val="0031526F"/>
    <w:rsid w:val="0031611E"/>
    <w:rsid w:val="003178BE"/>
    <w:rsid w:val="00320BE0"/>
    <w:rsid w:val="00325378"/>
    <w:rsid w:val="00325B2F"/>
    <w:rsid w:val="00326000"/>
    <w:rsid w:val="003266C9"/>
    <w:rsid w:val="00326799"/>
    <w:rsid w:val="00326870"/>
    <w:rsid w:val="0033023B"/>
    <w:rsid w:val="00330983"/>
    <w:rsid w:val="00330DC8"/>
    <w:rsid w:val="00331308"/>
    <w:rsid w:val="00334671"/>
    <w:rsid w:val="00334CB4"/>
    <w:rsid w:val="00340698"/>
    <w:rsid w:val="00340BF4"/>
    <w:rsid w:val="00341090"/>
    <w:rsid w:val="0034181C"/>
    <w:rsid w:val="0034607D"/>
    <w:rsid w:val="003517A8"/>
    <w:rsid w:val="00351D77"/>
    <w:rsid w:val="003556A8"/>
    <w:rsid w:val="00357284"/>
    <w:rsid w:val="00363222"/>
    <w:rsid w:val="00363AC2"/>
    <w:rsid w:val="00363BCC"/>
    <w:rsid w:val="00365711"/>
    <w:rsid w:val="003659D0"/>
    <w:rsid w:val="00365C82"/>
    <w:rsid w:val="00366773"/>
    <w:rsid w:val="0037011B"/>
    <w:rsid w:val="00370385"/>
    <w:rsid w:val="00370465"/>
    <w:rsid w:val="003721A8"/>
    <w:rsid w:val="00372E8F"/>
    <w:rsid w:val="003744F6"/>
    <w:rsid w:val="00375B55"/>
    <w:rsid w:val="003812F1"/>
    <w:rsid w:val="00384ABE"/>
    <w:rsid w:val="0038666E"/>
    <w:rsid w:val="00387F42"/>
    <w:rsid w:val="0039568C"/>
    <w:rsid w:val="003977A7"/>
    <w:rsid w:val="003977A9"/>
    <w:rsid w:val="00397F3F"/>
    <w:rsid w:val="003A034A"/>
    <w:rsid w:val="003A6CBC"/>
    <w:rsid w:val="003B082F"/>
    <w:rsid w:val="003B3F6F"/>
    <w:rsid w:val="003B423E"/>
    <w:rsid w:val="003B7AEF"/>
    <w:rsid w:val="003C4DA2"/>
    <w:rsid w:val="003D2231"/>
    <w:rsid w:val="003D416E"/>
    <w:rsid w:val="003E1335"/>
    <w:rsid w:val="003E1935"/>
    <w:rsid w:val="003E257E"/>
    <w:rsid w:val="003E2AEA"/>
    <w:rsid w:val="003E7943"/>
    <w:rsid w:val="003F001C"/>
    <w:rsid w:val="003F043C"/>
    <w:rsid w:val="003F15CB"/>
    <w:rsid w:val="003F1F98"/>
    <w:rsid w:val="003F3236"/>
    <w:rsid w:val="003F3E89"/>
    <w:rsid w:val="003F4234"/>
    <w:rsid w:val="003F45B4"/>
    <w:rsid w:val="003F6A54"/>
    <w:rsid w:val="004009E4"/>
    <w:rsid w:val="0040223E"/>
    <w:rsid w:val="00402EB5"/>
    <w:rsid w:val="00405AF1"/>
    <w:rsid w:val="004070F6"/>
    <w:rsid w:val="0041050C"/>
    <w:rsid w:val="0041217A"/>
    <w:rsid w:val="004127EC"/>
    <w:rsid w:val="00415461"/>
    <w:rsid w:val="004166D7"/>
    <w:rsid w:val="0042259B"/>
    <w:rsid w:val="0042424D"/>
    <w:rsid w:val="00424533"/>
    <w:rsid w:val="00431106"/>
    <w:rsid w:val="00432132"/>
    <w:rsid w:val="00432D1E"/>
    <w:rsid w:val="00433594"/>
    <w:rsid w:val="00434B0B"/>
    <w:rsid w:val="00447E57"/>
    <w:rsid w:val="004513D1"/>
    <w:rsid w:val="00452C8A"/>
    <w:rsid w:val="00456BCF"/>
    <w:rsid w:val="00460FF2"/>
    <w:rsid w:val="004626BE"/>
    <w:rsid w:val="0046647A"/>
    <w:rsid w:val="00470B2D"/>
    <w:rsid w:val="00472B26"/>
    <w:rsid w:val="00474672"/>
    <w:rsid w:val="004777CB"/>
    <w:rsid w:val="00477F45"/>
    <w:rsid w:val="0048046D"/>
    <w:rsid w:val="00482196"/>
    <w:rsid w:val="004849F7"/>
    <w:rsid w:val="00490721"/>
    <w:rsid w:val="004910AC"/>
    <w:rsid w:val="004935D2"/>
    <w:rsid w:val="00496163"/>
    <w:rsid w:val="004965EA"/>
    <w:rsid w:val="004979BD"/>
    <w:rsid w:val="004A08A2"/>
    <w:rsid w:val="004A2714"/>
    <w:rsid w:val="004A3F72"/>
    <w:rsid w:val="004A4C4E"/>
    <w:rsid w:val="004A6644"/>
    <w:rsid w:val="004A6A20"/>
    <w:rsid w:val="004B47D5"/>
    <w:rsid w:val="004B4ABE"/>
    <w:rsid w:val="004C1953"/>
    <w:rsid w:val="004C1A80"/>
    <w:rsid w:val="004C230A"/>
    <w:rsid w:val="004C388E"/>
    <w:rsid w:val="004C396E"/>
    <w:rsid w:val="004C45CC"/>
    <w:rsid w:val="004C74CC"/>
    <w:rsid w:val="004C79E3"/>
    <w:rsid w:val="004D0179"/>
    <w:rsid w:val="004D142D"/>
    <w:rsid w:val="004D146C"/>
    <w:rsid w:val="004D36E5"/>
    <w:rsid w:val="004D3AA0"/>
    <w:rsid w:val="004D5D86"/>
    <w:rsid w:val="004D6150"/>
    <w:rsid w:val="004E04B2"/>
    <w:rsid w:val="004E0D31"/>
    <w:rsid w:val="004F2135"/>
    <w:rsid w:val="004F25E7"/>
    <w:rsid w:val="004F3824"/>
    <w:rsid w:val="004F717A"/>
    <w:rsid w:val="00500967"/>
    <w:rsid w:val="00500D2C"/>
    <w:rsid w:val="00503B90"/>
    <w:rsid w:val="005112F6"/>
    <w:rsid w:val="005121EA"/>
    <w:rsid w:val="005124A2"/>
    <w:rsid w:val="00517437"/>
    <w:rsid w:val="0052128E"/>
    <w:rsid w:val="00530733"/>
    <w:rsid w:val="00532C30"/>
    <w:rsid w:val="00532D2A"/>
    <w:rsid w:val="005340C6"/>
    <w:rsid w:val="00535EA6"/>
    <w:rsid w:val="00535F63"/>
    <w:rsid w:val="00541CDC"/>
    <w:rsid w:val="0054271C"/>
    <w:rsid w:val="0054409D"/>
    <w:rsid w:val="00545BD3"/>
    <w:rsid w:val="005501E5"/>
    <w:rsid w:val="005504A9"/>
    <w:rsid w:val="005507CE"/>
    <w:rsid w:val="005541A7"/>
    <w:rsid w:val="00560E65"/>
    <w:rsid w:val="0056146F"/>
    <w:rsid w:val="00561774"/>
    <w:rsid w:val="0056200A"/>
    <w:rsid w:val="00564378"/>
    <w:rsid w:val="00564FA1"/>
    <w:rsid w:val="00566E49"/>
    <w:rsid w:val="00566F87"/>
    <w:rsid w:val="005750CB"/>
    <w:rsid w:val="0057707C"/>
    <w:rsid w:val="005819CE"/>
    <w:rsid w:val="00585D06"/>
    <w:rsid w:val="00587E45"/>
    <w:rsid w:val="005907D9"/>
    <w:rsid w:val="00590BAE"/>
    <w:rsid w:val="00590F1A"/>
    <w:rsid w:val="00591AD6"/>
    <w:rsid w:val="00592E87"/>
    <w:rsid w:val="005933D8"/>
    <w:rsid w:val="005948B0"/>
    <w:rsid w:val="00594C2E"/>
    <w:rsid w:val="00597E9C"/>
    <w:rsid w:val="005A04F6"/>
    <w:rsid w:val="005A05D2"/>
    <w:rsid w:val="005A12F2"/>
    <w:rsid w:val="005A184B"/>
    <w:rsid w:val="005A2A52"/>
    <w:rsid w:val="005A3DD9"/>
    <w:rsid w:val="005A451A"/>
    <w:rsid w:val="005A49F3"/>
    <w:rsid w:val="005A5C75"/>
    <w:rsid w:val="005A7A3D"/>
    <w:rsid w:val="005B592A"/>
    <w:rsid w:val="005B5C20"/>
    <w:rsid w:val="005C07D8"/>
    <w:rsid w:val="005C1A7C"/>
    <w:rsid w:val="005C65AB"/>
    <w:rsid w:val="005C714B"/>
    <w:rsid w:val="005C7CAD"/>
    <w:rsid w:val="005D2144"/>
    <w:rsid w:val="005D3D94"/>
    <w:rsid w:val="005D3E75"/>
    <w:rsid w:val="005D5B66"/>
    <w:rsid w:val="005D64DE"/>
    <w:rsid w:val="005D683E"/>
    <w:rsid w:val="005E4958"/>
    <w:rsid w:val="005E4C0C"/>
    <w:rsid w:val="005E5843"/>
    <w:rsid w:val="005F09F6"/>
    <w:rsid w:val="005F3C1D"/>
    <w:rsid w:val="005F4C1E"/>
    <w:rsid w:val="005F69A2"/>
    <w:rsid w:val="005F7E6B"/>
    <w:rsid w:val="005F7EBE"/>
    <w:rsid w:val="00600CCE"/>
    <w:rsid w:val="006027DA"/>
    <w:rsid w:val="00603417"/>
    <w:rsid w:val="00603471"/>
    <w:rsid w:val="006038F7"/>
    <w:rsid w:val="00603D89"/>
    <w:rsid w:val="00603FBC"/>
    <w:rsid w:val="006043B4"/>
    <w:rsid w:val="00605993"/>
    <w:rsid w:val="0060642A"/>
    <w:rsid w:val="00610953"/>
    <w:rsid w:val="0061300F"/>
    <w:rsid w:val="006152C8"/>
    <w:rsid w:val="00615470"/>
    <w:rsid w:val="00622ED2"/>
    <w:rsid w:val="00624614"/>
    <w:rsid w:val="00626C67"/>
    <w:rsid w:val="00626EE3"/>
    <w:rsid w:val="00631824"/>
    <w:rsid w:val="006321A0"/>
    <w:rsid w:val="006322C1"/>
    <w:rsid w:val="00632C95"/>
    <w:rsid w:val="006330A5"/>
    <w:rsid w:val="006337BF"/>
    <w:rsid w:val="00635017"/>
    <w:rsid w:val="00635930"/>
    <w:rsid w:val="006365AC"/>
    <w:rsid w:val="00637B59"/>
    <w:rsid w:val="00637D3C"/>
    <w:rsid w:val="006413DF"/>
    <w:rsid w:val="006465EE"/>
    <w:rsid w:val="00652CD7"/>
    <w:rsid w:val="00660B63"/>
    <w:rsid w:val="00661040"/>
    <w:rsid w:val="00661069"/>
    <w:rsid w:val="00663A37"/>
    <w:rsid w:val="00663D43"/>
    <w:rsid w:val="0066457F"/>
    <w:rsid w:val="00667FCB"/>
    <w:rsid w:val="006741CC"/>
    <w:rsid w:val="0067549A"/>
    <w:rsid w:val="00675FCF"/>
    <w:rsid w:val="006761B7"/>
    <w:rsid w:val="006769B6"/>
    <w:rsid w:val="00681720"/>
    <w:rsid w:val="006844BC"/>
    <w:rsid w:val="00685B8C"/>
    <w:rsid w:val="00690BF2"/>
    <w:rsid w:val="00692650"/>
    <w:rsid w:val="006928B3"/>
    <w:rsid w:val="00695AAB"/>
    <w:rsid w:val="006969C1"/>
    <w:rsid w:val="00696B56"/>
    <w:rsid w:val="006A25EB"/>
    <w:rsid w:val="006A28FC"/>
    <w:rsid w:val="006A3D09"/>
    <w:rsid w:val="006A50DE"/>
    <w:rsid w:val="006B07C0"/>
    <w:rsid w:val="006B0965"/>
    <w:rsid w:val="006B0FA1"/>
    <w:rsid w:val="006B1E9F"/>
    <w:rsid w:val="006B2F79"/>
    <w:rsid w:val="006B58AD"/>
    <w:rsid w:val="006B7795"/>
    <w:rsid w:val="006B7BD1"/>
    <w:rsid w:val="006C0116"/>
    <w:rsid w:val="006C0425"/>
    <w:rsid w:val="006C1554"/>
    <w:rsid w:val="006C2C4E"/>
    <w:rsid w:val="006C373F"/>
    <w:rsid w:val="006C3785"/>
    <w:rsid w:val="006C3B4E"/>
    <w:rsid w:val="006C51A0"/>
    <w:rsid w:val="006D2BDF"/>
    <w:rsid w:val="006D647E"/>
    <w:rsid w:val="006D6D19"/>
    <w:rsid w:val="006D7A40"/>
    <w:rsid w:val="006E3791"/>
    <w:rsid w:val="006E3A28"/>
    <w:rsid w:val="006F0D54"/>
    <w:rsid w:val="006F3329"/>
    <w:rsid w:val="006F55CD"/>
    <w:rsid w:val="006F587D"/>
    <w:rsid w:val="007009FE"/>
    <w:rsid w:val="00701B7D"/>
    <w:rsid w:val="007024C2"/>
    <w:rsid w:val="0072105F"/>
    <w:rsid w:val="007225D4"/>
    <w:rsid w:val="00723D23"/>
    <w:rsid w:val="007241DA"/>
    <w:rsid w:val="007242D2"/>
    <w:rsid w:val="007251E2"/>
    <w:rsid w:val="00725692"/>
    <w:rsid w:val="00726A68"/>
    <w:rsid w:val="007279EC"/>
    <w:rsid w:val="00730FD5"/>
    <w:rsid w:val="0073138D"/>
    <w:rsid w:val="00732384"/>
    <w:rsid w:val="00733AE7"/>
    <w:rsid w:val="0073570F"/>
    <w:rsid w:val="00736184"/>
    <w:rsid w:val="007366F9"/>
    <w:rsid w:val="0074213E"/>
    <w:rsid w:val="007421E3"/>
    <w:rsid w:val="00743E1A"/>
    <w:rsid w:val="007467EA"/>
    <w:rsid w:val="00747C93"/>
    <w:rsid w:val="007504BE"/>
    <w:rsid w:val="00754EE3"/>
    <w:rsid w:val="00756CD9"/>
    <w:rsid w:val="00756DE2"/>
    <w:rsid w:val="00757533"/>
    <w:rsid w:val="00762E8F"/>
    <w:rsid w:val="0076463D"/>
    <w:rsid w:val="00765A56"/>
    <w:rsid w:val="00767711"/>
    <w:rsid w:val="007707A7"/>
    <w:rsid w:val="00770D67"/>
    <w:rsid w:val="00776DA8"/>
    <w:rsid w:val="00780538"/>
    <w:rsid w:val="0078195E"/>
    <w:rsid w:val="00782488"/>
    <w:rsid w:val="00783702"/>
    <w:rsid w:val="00783B1E"/>
    <w:rsid w:val="007847D3"/>
    <w:rsid w:val="0078596A"/>
    <w:rsid w:val="0079017A"/>
    <w:rsid w:val="00791115"/>
    <w:rsid w:val="0079208B"/>
    <w:rsid w:val="00794E15"/>
    <w:rsid w:val="007A0596"/>
    <w:rsid w:val="007A059D"/>
    <w:rsid w:val="007A1C12"/>
    <w:rsid w:val="007A33FA"/>
    <w:rsid w:val="007A3C62"/>
    <w:rsid w:val="007A420B"/>
    <w:rsid w:val="007A6F68"/>
    <w:rsid w:val="007B0814"/>
    <w:rsid w:val="007B08A2"/>
    <w:rsid w:val="007B363B"/>
    <w:rsid w:val="007B718E"/>
    <w:rsid w:val="007B74AD"/>
    <w:rsid w:val="007B7EF6"/>
    <w:rsid w:val="007C0681"/>
    <w:rsid w:val="007C312B"/>
    <w:rsid w:val="007C3594"/>
    <w:rsid w:val="007C5279"/>
    <w:rsid w:val="007C638F"/>
    <w:rsid w:val="007D3B5F"/>
    <w:rsid w:val="007D3B81"/>
    <w:rsid w:val="007D4131"/>
    <w:rsid w:val="007D77D1"/>
    <w:rsid w:val="007E0CF2"/>
    <w:rsid w:val="007E1784"/>
    <w:rsid w:val="007E45B5"/>
    <w:rsid w:val="007E5888"/>
    <w:rsid w:val="007E6695"/>
    <w:rsid w:val="007E6A7B"/>
    <w:rsid w:val="007F0825"/>
    <w:rsid w:val="007F1DB3"/>
    <w:rsid w:val="007F2563"/>
    <w:rsid w:val="007F362B"/>
    <w:rsid w:val="007F5C12"/>
    <w:rsid w:val="007F5E00"/>
    <w:rsid w:val="007F7DB3"/>
    <w:rsid w:val="00800DBB"/>
    <w:rsid w:val="0080326C"/>
    <w:rsid w:val="0080388E"/>
    <w:rsid w:val="00803EFE"/>
    <w:rsid w:val="00804DBA"/>
    <w:rsid w:val="00805E9B"/>
    <w:rsid w:val="00810488"/>
    <w:rsid w:val="00810A63"/>
    <w:rsid w:val="00810EC6"/>
    <w:rsid w:val="00812103"/>
    <w:rsid w:val="0081325D"/>
    <w:rsid w:val="0081393B"/>
    <w:rsid w:val="008238D3"/>
    <w:rsid w:val="008247E7"/>
    <w:rsid w:val="0082759E"/>
    <w:rsid w:val="00831EE7"/>
    <w:rsid w:val="00832AA3"/>
    <w:rsid w:val="00832F33"/>
    <w:rsid w:val="008334C2"/>
    <w:rsid w:val="00833782"/>
    <w:rsid w:val="00834146"/>
    <w:rsid w:val="00840B75"/>
    <w:rsid w:val="0084329F"/>
    <w:rsid w:val="0084379F"/>
    <w:rsid w:val="008474D9"/>
    <w:rsid w:val="00847781"/>
    <w:rsid w:val="0085135C"/>
    <w:rsid w:val="008544D8"/>
    <w:rsid w:val="00861A7A"/>
    <w:rsid w:val="008628F2"/>
    <w:rsid w:val="008653FC"/>
    <w:rsid w:val="008655B1"/>
    <w:rsid w:val="00866982"/>
    <w:rsid w:val="008675A7"/>
    <w:rsid w:val="008704D5"/>
    <w:rsid w:val="008731D9"/>
    <w:rsid w:val="00873E22"/>
    <w:rsid w:val="00874FAE"/>
    <w:rsid w:val="008752DD"/>
    <w:rsid w:val="00875DAF"/>
    <w:rsid w:val="0087622B"/>
    <w:rsid w:val="0087650F"/>
    <w:rsid w:val="0088297E"/>
    <w:rsid w:val="0088312C"/>
    <w:rsid w:val="008832CD"/>
    <w:rsid w:val="00894284"/>
    <w:rsid w:val="00894A7F"/>
    <w:rsid w:val="00894ACA"/>
    <w:rsid w:val="008A005D"/>
    <w:rsid w:val="008A3CED"/>
    <w:rsid w:val="008A4402"/>
    <w:rsid w:val="008A481A"/>
    <w:rsid w:val="008A529F"/>
    <w:rsid w:val="008A5C19"/>
    <w:rsid w:val="008A6398"/>
    <w:rsid w:val="008A6FCD"/>
    <w:rsid w:val="008B2164"/>
    <w:rsid w:val="008B30F8"/>
    <w:rsid w:val="008C63D0"/>
    <w:rsid w:val="008C76E2"/>
    <w:rsid w:val="008C792B"/>
    <w:rsid w:val="008D10D2"/>
    <w:rsid w:val="008D424B"/>
    <w:rsid w:val="008D471F"/>
    <w:rsid w:val="008D4F3B"/>
    <w:rsid w:val="008D6808"/>
    <w:rsid w:val="008E2FA3"/>
    <w:rsid w:val="008E52ED"/>
    <w:rsid w:val="008F022A"/>
    <w:rsid w:val="008F1920"/>
    <w:rsid w:val="008F1E80"/>
    <w:rsid w:val="008F1FCB"/>
    <w:rsid w:val="008F3A9C"/>
    <w:rsid w:val="008F4AFC"/>
    <w:rsid w:val="008F4B4F"/>
    <w:rsid w:val="008F54B0"/>
    <w:rsid w:val="0090026D"/>
    <w:rsid w:val="00902498"/>
    <w:rsid w:val="00903AD5"/>
    <w:rsid w:val="0090412A"/>
    <w:rsid w:val="009066A7"/>
    <w:rsid w:val="009068C0"/>
    <w:rsid w:val="00907F1C"/>
    <w:rsid w:val="00914440"/>
    <w:rsid w:val="00922F34"/>
    <w:rsid w:val="00924848"/>
    <w:rsid w:val="009260B4"/>
    <w:rsid w:val="00930A43"/>
    <w:rsid w:val="009315ED"/>
    <w:rsid w:val="00932C27"/>
    <w:rsid w:val="00935412"/>
    <w:rsid w:val="00937C98"/>
    <w:rsid w:val="00940435"/>
    <w:rsid w:val="00940892"/>
    <w:rsid w:val="00942415"/>
    <w:rsid w:val="00942628"/>
    <w:rsid w:val="009443E5"/>
    <w:rsid w:val="009444DF"/>
    <w:rsid w:val="00945D5F"/>
    <w:rsid w:val="00946FDF"/>
    <w:rsid w:val="0095129A"/>
    <w:rsid w:val="0095216C"/>
    <w:rsid w:val="00956266"/>
    <w:rsid w:val="009615A0"/>
    <w:rsid w:val="00962B6D"/>
    <w:rsid w:val="00965579"/>
    <w:rsid w:val="00965952"/>
    <w:rsid w:val="009662EA"/>
    <w:rsid w:val="00974D6D"/>
    <w:rsid w:val="009761DB"/>
    <w:rsid w:val="0097631E"/>
    <w:rsid w:val="00976AA3"/>
    <w:rsid w:val="0098331D"/>
    <w:rsid w:val="0098688E"/>
    <w:rsid w:val="00990BE0"/>
    <w:rsid w:val="0099216B"/>
    <w:rsid w:val="00994E22"/>
    <w:rsid w:val="009A1F26"/>
    <w:rsid w:val="009A27AE"/>
    <w:rsid w:val="009A2829"/>
    <w:rsid w:val="009A45EB"/>
    <w:rsid w:val="009A5945"/>
    <w:rsid w:val="009A61EA"/>
    <w:rsid w:val="009B126F"/>
    <w:rsid w:val="009B4BE8"/>
    <w:rsid w:val="009B540D"/>
    <w:rsid w:val="009B6F75"/>
    <w:rsid w:val="009C0420"/>
    <w:rsid w:val="009C08CC"/>
    <w:rsid w:val="009C12D6"/>
    <w:rsid w:val="009C23DF"/>
    <w:rsid w:val="009C3DC0"/>
    <w:rsid w:val="009C711E"/>
    <w:rsid w:val="009D65AB"/>
    <w:rsid w:val="009D705C"/>
    <w:rsid w:val="009D7378"/>
    <w:rsid w:val="009E15E2"/>
    <w:rsid w:val="009E4E70"/>
    <w:rsid w:val="009E6288"/>
    <w:rsid w:val="009E6FFE"/>
    <w:rsid w:val="009F01CB"/>
    <w:rsid w:val="009F085B"/>
    <w:rsid w:val="009F2BA1"/>
    <w:rsid w:val="009F73FD"/>
    <w:rsid w:val="00A030E2"/>
    <w:rsid w:val="00A03347"/>
    <w:rsid w:val="00A05B47"/>
    <w:rsid w:val="00A0648F"/>
    <w:rsid w:val="00A07674"/>
    <w:rsid w:val="00A07884"/>
    <w:rsid w:val="00A1037F"/>
    <w:rsid w:val="00A10CC4"/>
    <w:rsid w:val="00A126EF"/>
    <w:rsid w:val="00A151EB"/>
    <w:rsid w:val="00A15C0B"/>
    <w:rsid w:val="00A15C86"/>
    <w:rsid w:val="00A16D82"/>
    <w:rsid w:val="00A200FD"/>
    <w:rsid w:val="00A20AD8"/>
    <w:rsid w:val="00A220EC"/>
    <w:rsid w:val="00A2577F"/>
    <w:rsid w:val="00A257E7"/>
    <w:rsid w:val="00A301D7"/>
    <w:rsid w:val="00A32026"/>
    <w:rsid w:val="00A353C0"/>
    <w:rsid w:val="00A36BCE"/>
    <w:rsid w:val="00A4470D"/>
    <w:rsid w:val="00A4494B"/>
    <w:rsid w:val="00A45488"/>
    <w:rsid w:val="00A45DF5"/>
    <w:rsid w:val="00A5297D"/>
    <w:rsid w:val="00A53997"/>
    <w:rsid w:val="00A5435E"/>
    <w:rsid w:val="00A60213"/>
    <w:rsid w:val="00A62E8D"/>
    <w:rsid w:val="00A63121"/>
    <w:rsid w:val="00A64B32"/>
    <w:rsid w:val="00A667D4"/>
    <w:rsid w:val="00A66F88"/>
    <w:rsid w:val="00A67040"/>
    <w:rsid w:val="00A672F7"/>
    <w:rsid w:val="00A67378"/>
    <w:rsid w:val="00A70D3A"/>
    <w:rsid w:val="00A7141D"/>
    <w:rsid w:val="00A72045"/>
    <w:rsid w:val="00A7250E"/>
    <w:rsid w:val="00A726E7"/>
    <w:rsid w:val="00A73644"/>
    <w:rsid w:val="00A73D65"/>
    <w:rsid w:val="00A75769"/>
    <w:rsid w:val="00A771AC"/>
    <w:rsid w:val="00A802EA"/>
    <w:rsid w:val="00A80574"/>
    <w:rsid w:val="00A8179B"/>
    <w:rsid w:val="00A83CBC"/>
    <w:rsid w:val="00A83D75"/>
    <w:rsid w:val="00A86B05"/>
    <w:rsid w:val="00A90D5B"/>
    <w:rsid w:val="00A96505"/>
    <w:rsid w:val="00AA1134"/>
    <w:rsid w:val="00AA1BDD"/>
    <w:rsid w:val="00AA2E39"/>
    <w:rsid w:val="00AA3376"/>
    <w:rsid w:val="00AB38AC"/>
    <w:rsid w:val="00AB67CC"/>
    <w:rsid w:val="00AC1DBD"/>
    <w:rsid w:val="00AC1FDC"/>
    <w:rsid w:val="00AC2AD6"/>
    <w:rsid w:val="00AC391D"/>
    <w:rsid w:val="00AC4FE3"/>
    <w:rsid w:val="00AC528F"/>
    <w:rsid w:val="00AC57F7"/>
    <w:rsid w:val="00AC7221"/>
    <w:rsid w:val="00AD006E"/>
    <w:rsid w:val="00AD228C"/>
    <w:rsid w:val="00AD39CE"/>
    <w:rsid w:val="00AD5462"/>
    <w:rsid w:val="00AD56D0"/>
    <w:rsid w:val="00AD79EB"/>
    <w:rsid w:val="00AE0B49"/>
    <w:rsid w:val="00AF24B2"/>
    <w:rsid w:val="00AF6A45"/>
    <w:rsid w:val="00B0664C"/>
    <w:rsid w:val="00B07514"/>
    <w:rsid w:val="00B078AE"/>
    <w:rsid w:val="00B07C5E"/>
    <w:rsid w:val="00B104AD"/>
    <w:rsid w:val="00B1062A"/>
    <w:rsid w:val="00B140F4"/>
    <w:rsid w:val="00B145E1"/>
    <w:rsid w:val="00B14CD5"/>
    <w:rsid w:val="00B1645F"/>
    <w:rsid w:val="00B178E7"/>
    <w:rsid w:val="00B2417B"/>
    <w:rsid w:val="00B241BF"/>
    <w:rsid w:val="00B33290"/>
    <w:rsid w:val="00B3608B"/>
    <w:rsid w:val="00B374E9"/>
    <w:rsid w:val="00B4094C"/>
    <w:rsid w:val="00B40FCF"/>
    <w:rsid w:val="00B459D0"/>
    <w:rsid w:val="00B639F3"/>
    <w:rsid w:val="00B63E67"/>
    <w:rsid w:val="00B6470A"/>
    <w:rsid w:val="00B7035B"/>
    <w:rsid w:val="00B72459"/>
    <w:rsid w:val="00B72D65"/>
    <w:rsid w:val="00B74655"/>
    <w:rsid w:val="00B76309"/>
    <w:rsid w:val="00B83FF3"/>
    <w:rsid w:val="00B84E8D"/>
    <w:rsid w:val="00B865B0"/>
    <w:rsid w:val="00B87C85"/>
    <w:rsid w:val="00B94930"/>
    <w:rsid w:val="00BA0C64"/>
    <w:rsid w:val="00BA1577"/>
    <w:rsid w:val="00BA1CD3"/>
    <w:rsid w:val="00BB21A6"/>
    <w:rsid w:val="00BB2710"/>
    <w:rsid w:val="00BB2A37"/>
    <w:rsid w:val="00BB2DFF"/>
    <w:rsid w:val="00BB3A72"/>
    <w:rsid w:val="00BB3C2D"/>
    <w:rsid w:val="00BB4369"/>
    <w:rsid w:val="00BB4AD7"/>
    <w:rsid w:val="00BC0D12"/>
    <w:rsid w:val="00BC15A4"/>
    <w:rsid w:val="00BC43BD"/>
    <w:rsid w:val="00BC53A0"/>
    <w:rsid w:val="00BC6088"/>
    <w:rsid w:val="00BC6B81"/>
    <w:rsid w:val="00BD5102"/>
    <w:rsid w:val="00BE0B1C"/>
    <w:rsid w:val="00BE1AC5"/>
    <w:rsid w:val="00BE40E8"/>
    <w:rsid w:val="00BE4AC6"/>
    <w:rsid w:val="00BE643E"/>
    <w:rsid w:val="00BF0D90"/>
    <w:rsid w:val="00BF244C"/>
    <w:rsid w:val="00BF29F6"/>
    <w:rsid w:val="00BF2B9E"/>
    <w:rsid w:val="00BF5A8B"/>
    <w:rsid w:val="00C00698"/>
    <w:rsid w:val="00C01BB6"/>
    <w:rsid w:val="00C02E98"/>
    <w:rsid w:val="00C05085"/>
    <w:rsid w:val="00C101C9"/>
    <w:rsid w:val="00C102F1"/>
    <w:rsid w:val="00C10E33"/>
    <w:rsid w:val="00C10F77"/>
    <w:rsid w:val="00C13382"/>
    <w:rsid w:val="00C16E1E"/>
    <w:rsid w:val="00C171CC"/>
    <w:rsid w:val="00C17251"/>
    <w:rsid w:val="00C17FE9"/>
    <w:rsid w:val="00C22821"/>
    <w:rsid w:val="00C2356C"/>
    <w:rsid w:val="00C23B9E"/>
    <w:rsid w:val="00C24D84"/>
    <w:rsid w:val="00C252C2"/>
    <w:rsid w:val="00C279A3"/>
    <w:rsid w:val="00C30849"/>
    <w:rsid w:val="00C34B73"/>
    <w:rsid w:val="00C36171"/>
    <w:rsid w:val="00C40A86"/>
    <w:rsid w:val="00C448A9"/>
    <w:rsid w:val="00C465FE"/>
    <w:rsid w:val="00C4785E"/>
    <w:rsid w:val="00C50541"/>
    <w:rsid w:val="00C50A73"/>
    <w:rsid w:val="00C52237"/>
    <w:rsid w:val="00C571E8"/>
    <w:rsid w:val="00C5731B"/>
    <w:rsid w:val="00C60680"/>
    <w:rsid w:val="00C60684"/>
    <w:rsid w:val="00C60D56"/>
    <w:rsid w:val="00C62C8E"/>
    <w:rsid w:val="00C62E96"/>
    <w:rsid w:val="00C63586"/>
    <w:rsid w:val="00C63D43"/>
    <w:rsid w:val="00C640BB"/>
    <w:rsid w:val="00C67047"/>
    <w:rsid w:val="00C71AA6"/>
    <w:rsid w:val="00C72B4B"/>
    <w:rsid w:val="00C73C68"/>
    <w:rsid w:val="00C74302"/>
    <w:rsid w:val="00C74A02"/>
    <w:rsid w:val="00C7529C"/>
    <w:rsid w:val="00C809DA"/>
    <w:rsid w:val="00C83FCC"/>
    <w:rsid w:val="00C8640A"/>
    <w:rsid w:val="00C90CED"/>
    <w:rsid w:val="00C913F0"/>
    <w:rsid w:val="00C925FC"/>
    <w:rsid w:val="00C929A2"/>
    <w:rsid w:val="00C933F5"/>
    <w:rsid w:val="00C957A0"/>
    <w:rsid w:val="00C96C03"/>
    <w:rsid w:val="00C97C5B"/>
    <w:rsid w:val="00CA086E"/>
    <w:rsid w:val="00CA34CD"/>
    <w:rsid w:val="00CA497D"/>
    <w:rsid w:val="00CA5725"/>
    <w:rsid w:val="00CB2AEE"/>
    <w:rsid w:val="00CB4E79"/>
    <w:rsid w:val="00CB7D4F"/>
    <w:rsid w:val="00CB7D9F"/>
    <w:rsid w:val="00CC0E97"/>
    <w:rsid w:val="00CC2702"/>
    <w:rsid w:val="00CC34BA"/>
    <w:rsid w:val="00CC3E91"/>
    <w:rsid w:val="00CC4ABD"/>
    <w:rsid w:val="00CC5408"/>
    <w:rsid w:val="00CC725E"/>
    <w:rsid w:val="00CC77D5"/>
    <w:rsid w:val="00CD292A"/>
    <w:rsid w:val="00CD310D"/>
    <w:rsid w:val="00CD34AE"/>
    <w:rsid w:val="00CD5121"/>
    <w:rsid w:val="00CD5B83"/>
    <w:rsid w:val="00CD6843"/>
    <w:rsid w:val="00CE3484"/>
    <w:rsid w:val="00CE35B5"/>
    <w:rsid w:val="00CE3E99"/>
    <w:rsid w:val="00CE467D"/>
    <w:rsid w:val="00CE6C04"/>
    <w:rsid w:val="00CE7A54"/>
    <w:rsid w:val="00CF0BDC"/>
    <w:rsid w:val="00CF0C67"/>
    <w:rsid w:val="00CF1051"/>
    <w:rsid w:val="00CF31AC"/>
    <w:rsid w:val="00CF325D"/>
    <w:rsid w:val="00CF3B37"/>
    <w:rsid w:val="00CF6CA7"/>
    <w:rsid w:val="00CF77C5"/>
    <w:rsid w:val="00D01F68"/>
    <w:rsid w:val="00D0321B"/>
    <w:rsid w:val="00D07444"/>
    <w:rsid w:val="00D07CB0"/>
    <w:rsid w:val="00D106F3"/>
    <w:rsid w:val="00D10F32"/>
    <w:rsid w:val="00D1354D"/>
    <w:rsid w:val="00D13870"/>
    <w:rsid w:val="00D13D66"/>
    <w:rsid w:val="00D17C3C"/>
    <w:rsid w:val="00D2468A"/>
    <w:rsid w:val="00D25613"/>
    <w:rsid w:val="00D2674B"/>
    <w:rsid w:val="00D326E9"/>
    <w:rsid w:val="00D33598"/>
    <w:rsid w:val="00D33959"/>
    <w:rsid w:val="00D36424"/>
    <w:rsid w:val="00D370A9"/>
    <w:rsid w:val="00D440A1"/>
    <w:rsid w:val="00D54A12"/>
    <w:rsid w:val="00D56793"/>
    <w:rsid w:val="00D5773A"/>
    <w:rsid w:val="00D602DB"/>
    <w:rsid w:val="00D62AA0"/>
    <w:rsid w:val="00D63063"/>
    <w:rsid w:val="00D63465"/>
    <w:rsid w:val="00D70850"/>
    <w:rsid w:val="00D72002"/>
    <w:rsid w:val="00D7397A"/>
    <w:rsid w:val="00D7622A"/>
    <w:rsid w:val="00D775F5"/>
    <w:rsid w:val="00D8141C"/>
    <w:rsid w:val="00D8174F"/>
    <w:rsid w:val="00D82EB7"/>
    <w:rsid w:val="00D84D97"/>
    <w:rsid w:val="00D84E05"/>
    <w:rsid w:val="00D8694D"/>
    <w:rsid w:val="00D91964"/>
    <w:rsid w:val="00D940C4"/>
    <w:rsid w:val="00D949AF"/>
    <w:rsid w:val="00D952B1"/>
    <w:rsid w:val="00D9546F"/>
    <w:rsid w:val="00D95C69"/>
    <w:rsid w:val="00D972A6"/>
    <w:rsid w:val="00D974B4"/>
    <w:rsid w:val="00DA037A"/>
    <w:rsid w:val="00DA0713"/>
    <w:rsid w:val="00DA1B19"/>
    <w:rsid w:val="00DA25BC"/>
    <w:rsid w:val="00DA4F7D"/>
    <w:rsid w:val="00DA5712"/>
    <w:rsid w:val="00DA6613"/>
    <w:rsid w:val="00DA6807"/>
    <w:rsid w:val="00DA7175"/>
    <w:rsid w:val="00DB29C6"/>
    <w:rsid w:val="00DB2C73"/>
    <w:rsid w:val="00DB4234"/>
    <w:rsid w:val="00DB461A"/>
    <w:rsid w:val="00DB4D95"/>
    <w:rsid w:val="00DB53A4"/>
    <w:rsid w:val="00DB64E9"/>
    <w:rsid w:val="00DB7FD6"/>
    <w:rsid w:val="00DC1EEB"/>
    <w:rsid w:val="00DC4D6D"/>
    <w:rsid w:val="00DC5E6B"/>
    <w:rsid w:val="00DC6844"/>
    <w:rsid w:val="00DC6C9C"/>
    <w:rsid w:val="00DD2D86"/>
    <w:rsid w:val="00DD3BB2"/>
    <w:rsid w:val="00DD5C5F"/>
    <w:rsid w:val="00DE64A5"/>
    <w:rsid w:val="00DF33A4"/>
    <w:rsid w:val="00DF386B"/>
    <w:rsid w:val="00DF4EEF"/>
    <w:rsid w:val="00DF58BC"/>
    <w:rsid w:val="00DF5A71"/>
    <w:rsid w:val="00DF640D"/>
    <w:rsid w:val="00DF750F"/>
    <w:rsid w:val="00E024A9"/>
    <w:rsid w:val="00E059D1"/>
    <w:rsid w:val="00E1044C"/>
    <w:rsid w:val="00E10F46"/>
    <w:rsid w:val="00E11942"/>
    <w:rsid w:val="00E155A4"/>
    <w:rsid w:val="00E1613A"/>
    <w:rsid w:val="00E16DC5"/>
    <w:rsid w:val="00E2402D"/>
    <w:rsid w:val="00E24666"/>
    <w:rsid w:val="00E27B2F"/>
    <w:rsid w:val="00E305BA"/>
    <w:rsid w:val="00E3071D"/>
    <w:rsid w:val="00E31074"/>
    <w:rsid w:val="00E34F45"/>
    <w:rsid w:val="00E36197"/>
    <w:rsid w:val="00E361D9"/>
    <w:rsid w:val="00E37C4A"/>
    <w:rsid w:val="00E44C58"/>
    <w:rsid w:val="00E5049E"/>
    <w:rsid w:val="00E50813"/>
    <w:rsid w:val="00E514AF"/>
    <w:rsid w:val="00E52AC6"/>
    <w:rsid w:val="00E5404A"/>
    <w:rsid w:val="00E545A5"/>
    <w:rsid w:val="00E61483"/>
    <w:rsid w:val="00E6509A"/>
    <w:rsid w:val="00E67448"/>
    <w:rsid w:val="00E67869"/>
    <w:rsid w:val="00E71C54"/>
    <w:rsid w:val="00E74E62"/>
    <w:rsid w:val="00E80596"/>
    <w:rsid w:val="00E826BE"/>
    <w:rsid w:val="00E82971"/>
    <w:rsid w:val="00E84541"/>
    <w:rsid w:val="00E864EC"/>
    <w:rsid w:val="00E919B1"/>
    <w:rsid w:val="00E91C2C"/>
    <w:rsid w:val="00E91F80"/>
    <w:rsid w:val="00E93818"/>
    <w:rsid w:val="00E93867"/>
    <w:rsid w:val="00E9592D"/>
    <w:rsid w:val="00E97572"/>
    <w:rsid w:val="00E97654"/>
    <w:rsid w:val="00EA0674"/>
    <w:rsid w:val="00EA364F"/>
    <w:rsid w:val="00EA3DB5"/>
    <w:rsid w:val="00EB08CC"/>
    <w:rsid w:val="00EB0CA0"/>
    <w:rsid w:val="00EB407F"/>
    <w:rsid w:val="00EC03A5"/>
    <w:rsid w:val="00EC089E"/>
    <w:rsid w:val="00EC17BB"/>
    <w:rsid w:val="00EC2DA0"/>
    <w:rsid w:val="00EC3820"/>
    <w:rsid w:val="00EC3FD6"/>
    <w:rsid w:val="00ED0948"/>
    <w:rsid w:val="00ED13DC"/>
    <w:rsid w:val="00ED27D8"/>
    <w:rsid w:val="00ED2AB3"/>
    <w:rsid w:val="00ED2E59"/>
    <w:rsid w:val="00ED4A2B"/>
    <w:rsid w:val="00ED7D08"/>
    <w:rsid w:val="00EE053F"/>
    <w:rsid w:val="00EE2B50"/>
    <w:rsid w:val="00EE2FD1"/>
    <w:rsid w:val="00EE4616"/>
    <w:rsid w:val="00EE5B36"/>
    <w:rsid w:val="00EE6B41"/>
    <w:rsid w:val="00EF3694"/>
    <w:rsid w:val="00EF636B"/>
    <w:rsid w:val="00EF6428"/>
    <w:rsid w:val="00F007C0"/>
    <w:rsid w:val="00F023FF"/>
    <w:rsid w:val="00F03D9F"/>
    <w:rsid w:val="00F0483E"/>
    <w:rsid w:val="00F04DFF"/>
    <w:rsid w:val="00F05B27"/>
    <w:rsid w:val="00F13985"/>
    <w:rsid w:val="00F14F26"/>
    <w:rsid w:val="00F16E5D"/>
    <w:rsid w:val="00F214F4"/>
    <w:rsid w:val="00F23BA7"/>
    <w:rsid w:val="00F24915"/>
    <w:rsid w:val="00F250F6"/>
    <w:rsid w:val="00F33672"/>
    <w:rsid w:val="00F33C47"/>
    <w:rsid w:val="00F401F9"/>
    <w:rsid w:val="00F410B3"/>
    <w:rsid w:val="00F4129C"/>
    <w:rsid w:val="00F5163D"/>
    <w:rsid w:val="00F522F2"/>
    <w:rsid w:val="00F5267A"/>
    <w:rsid w:val="00F572FB"/>
    <w:rsid w:val="00F601CE"/>
    <w:rsid w:val="00F6105C"/>
    <w:rsid w:val="00F677DE"/>
    <w:rsid w:val="00F67970"/>
    <w:rsid w:val="00F70C38"/>
    <w:rsid w:val="00F72ABB"/>
    <w:rsid w:val="00F745B2"/>
    <w:rsid w:val="00F82787"/>
    <w:rsid w:val="00F84DAC"/>
    <w:rsid w:val="00F85249"/>
    <w:rsid w:val="00F9259F"/>
    <w:rsid w:val="00F93802"/>
    <w:rsid w:val="00F94124"/>
    <w:rsid w:val="00F945F2"/>
    <w:rsid w:val="00F94F27"/>
    <w:rsid w:val="00F97325"/>
    <w:rsid w:val="00FA1218"/>
    <w:rsid w:val="00FA519D"/>
    <w:rsid w:val="00FA58D1"/>
    <w:rsid w:val="00FA5A8C"/>
    <w:rsid w:val="00FA6DDD"/>
    <w:rsid w:val="00FB0B21"/>
    <w:rsid w:val="00FB0E02"/>
    <w:rsid w:val="00FB1B0F"/>
    <w:rsid w:val="00FB503D"/>
    <w:rsid w:val="00FB7AAE"/>
    <w:rsid w:val="00FC0561"/>
    <w:rsid w:val="00FC1775"/>
    <w:rsid w:val="00FC4CD2"/>
    <w:rsid w:val="00FC57B6"/>
    <w:rsid w:val="00FC5A3D"/>
    <w:rsid w:val="00FC6875"/>
    <w:rsid w:val="00FC68F6"/>
    <w:rsid w:val="00FD030F"/>
    <w:rsid w:val="00FD22C1"/>
    <w:rsid w:val="00FD5102"/>
    <w:rsid w:val="00FD579F"/>
    <w:rsid w:val="00FD6410"/>
    <w:rsid w:val="00FD754F"/>
    <w:rsid w:val="00FD75E1"/>
    <w:rsid w:val="00FD7B4C"/>
    <w:rsid w:val="00FE2718"/>
    <w:rsid w:val="00FE2ADE"/>
    <w:rsid w:val="00FE2E00"/>
    <w:rsid w:val="00FE3000"/>
    <w:rsid w:val="00FE3E56"/>
    <w:rsid w:val="00FF06FA"/>
    <w:rsid w:val="00FF0A3D"/>
    <w:rsid w:val="00FF1BA9"/>
    <w:rsid w:val="00FF2CFE"/>
    <w:rsid w:val="00FF44F5"/>
    <w:rsid w:val="00FF5C37"/>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8B1EA0C"/>
  <w15:docId w15:val="{76A2D8E2-7728-4E6D-93DE-81C735B12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73D65"/>
    <w:pPr>
      <w:tabs>
        <w:tab w:val="center" w:pos="4419"/>
        <w:tab w:val="right" w:pos="8838"/>
      </w:tabs>
    </w:pPr>
  </w:style>
  <w:style w:type="character" w:customStyle="1" w:styleId="EncabezadoCar">
    <w:name w:val="Encabezado Car"/>
    <w:basedOn w:val="Fuentedeprrafopredeter"/>
    <w:link w:val="Encabezado"/>
    <w:uiPriority w:val="99"/>
    <w:rsid w:val="00A73D65"/>
    <w:rPr>
      <w:rFonts w:eastAsiaTheme="minorEastAsia"/>
      <w:lang w:val="es-ES"/>
    </w:rPr>
  </w:style>
  <w:style w:type="paragraph" w:styleId="Piedepgina">
    <w:name w:val="footer"/>
    <w:basedOn w:val="Normal"/>
    <w:link w:val="PiedepginaCar"/>
    <w:uiPriority w:val="99"/>
    <w:unhideWhenUsed/>
    <w:rsid w:val="00A73D65"/>
    <w:pPr>
      <w:tabs>
        <w:tab w:val="center" w:pos="4419"/>
        <w:tab w:val="right" w:pos="8838"/>
      </w:tabs>
    </w:pPr>
  </w:style>
  <w:style w:type="character" w:customStyle="1" w:styleId="PiedepginaCar">
    <w:name w:val="Pie de página Car"/>
    <w:basedOn w:val="Fuentedeprrafopredeter"/>
    <w:link w:val="Piedepgina"/>
    <w:uiPriority w:val="99"/>
    <w:rsid w:val="00A73D65"/>
    <w:rPr>
      <w:rFonts w:eastAsiaTheme="minorEastAsia"/>
      <w:lang w:val="es-ES"/>
    </w:rPr>
  </w:style>
  <w:style w:type="paragraph" w:styleId="Textodeglobo">
    <w:name w:val="Balloon Text"/>
    <w:basedOn w:val="Normal"/>
    <w:link w:val="TextodegloboCar"/>
    <w:uiPriority w:val="99"/>
    <w:semiHidden/>
    <w:unhideWhenUsed/>
    <w:rsid w:val="00DA1B19"/>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DA1B19"/>
    <w:rPr>
      <w:rFonts w:ascii="Times New Roman" w:eastAsiaTheme="minorEastAsia" w:hAnsi="Times New Roman" w:cs="Times New Roman"/>
      <w:sz w:val="18"/>
      <w:szCs w:val="18"/>
      <w:lang w:val="es-ES"/>
    </w:rPr>
  </w:style>
  <w:style w:type="paragraph" w:styleId="Prrafodelista">
    <w:name w:val="List Paragraph"/>
    <w:basedOn w:val="Normal"/>
    <w:uiPriority w:val="34"/>
    <w:qFormat/>
    <w:rsid w:val="00DC1EEB"/>
    <w:pPr>
      <w:ind w:left="720"/>
      <w:contextualSpacing/>
    </w:pPr>
  </w:style>
  <w:style w:type="paragraph" w:styleId="Revisin">
    <w:name w:val="Revision"/>
    <w:hidden/>
    <w:uiPriority w:val="99"/>
    <w:semiHidden/>
    <w:rsid w:val="007A0596"/>
    <w:rPr>
      <w:rFonts w:eastAsiaTheme="minorEastAsia"/>
      <w:lang w:val="es-ES"/>
    </w:rPr>
  </w:style>
  <w:style w:type="character" w:styleId="Hipervnculo">
    <w:name w:val="Hyperlink"/>
    <w:basedOn w:val="Fuentedeprrafopredeter"/>
    <w:uiPriority w:val="99"/>
    <w:unhideWhenUsed/>
    <w:rsid w:val="000400C6"/>
    <w:rPr>
      <w:color w:val="0563C1" w:themeColor="hyperlink"/>
      <w:u w:val="single"/>
    </w:rPr>
  </w:style>
  <w:style w:type="character" w:styleId="Mencinsinresolver">
    <w:name w:val="Unresolved Mention"/>
    <w:basedOn w:val="Fuentedeprrafopredeter"/>
    <w:uiPriority w:val="99"/>
    <w:semiHidden/>
    <w:unhideWhenUsed/>
    <w:rsid w:val="000400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CEF5B2-5F98-4A7F-832C-E6F3D1E4D452}">
  <ds:schemaRefs>
    <ds:schemaRef ds:uri="http://schemas.openxmlformats.org/officeDocument/2006/bibliography"/>
  </ds:schemaRefs>
</ds:datastoreItem>
</file>

<file path=docMetadata/LabelInfo.xml><?xml version="1.0" encoding="utf-8"?>
<clbl:labelList xmlns:clbl="http://schemas.microsoft.com/office/2020/mipLabelMetadata">
  <clbl:label id="{b08e6078-b6a6-4e37-b77a-f467d32c54e5}" enabled="0" method="" siteId="{b08e6078-b6a6-4e37-b77a-f467d32c54e5}" removed="1"/>
</clbl:labelList>
</file>

<file path=docProps/app.xml><?xml version="1.0" encoding="utf-8"?>
<Properties xmlns="http://schemas.openxmlformats.org/officeDocument/2006/extended-properties" xmlns:vt="http://schemas.openxmlformats.org/officeDocument/2006/docPropsVTypes">
  <Template>Normal.dotm</Template>
  <TotalTime>3</TotalTime>
  <Pages>2</Pages>
  <Words>602</Words>
  <Characters>3317</Characters>
  <Application>Microsoft Office Word</Application>
  <DocSecurity>0</DocSecurity>
  <Lines>27</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Andrés Silva Páez</dc:creator>
  <cp:keywords/>
  <dc:description/>
  <cp:lastModifiedBy>Luz Maria Rico Jardon</cp:lastModifiedBy>
  <cp:revision>2</cp:revision>
  <cp:lastPrinted>2024-10-03T14:20:00Z</cp:lastPrinted>
  <dcterms:created xsi:type="dcterms:W3CDTF">2026-10-07T16:31:00Z</dcterms:created>
  <dcterms:modified xsi:type="dcterms:W3CDTF">2026-10-07T16:31:00Z</dcterms:modified>
</cp:coreProperties>
</file>