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269EE" w14:textId="72B294B9" w:rsidR="00EF10CD" w:rsidRDefault="00D81FBA">
      <w:pPr>
        <w:jc w:val="both"/>
        <w:rPr>
          <w:rFonts w:ascii="Noto Sans" w:eastAsia="Noto Sans" w:hAnsi="Noto Sans" w:cs="Noto Sans"/>
          <w:sz w:val="19"/>
          <w:szCs w:val="19"/>
        </w:rPr>
      </w:pPr>
      <w:r>
        <w:rPr>
          <w:noProof/>
        </w:rPr>
        <mc:AlternateContent>
          <mc:Choice Requires="wps">
            <w:drawing>
              <wp:anchor distT="0" distB="0" distL="114300" distR="114300" simplePos="0" relativeHeight="251658240" behindDoc="0" locked="0" layoutInCell="1" hidden="0" allowOverlap="1" wp14:anchorId="2F884335" wp14:editId="7B8AB97C">
                <wp:simplePos x="0" y="0"/>
                <wp:positionH relativeFrom="column">
                  <wp:posOffset>2366010</wp:posOffset>
                </wp:positionH>
                <wp:positionV relativeFrom="paragraph">
                  <wp:posOffset>0</wp:posOffset>
                </wp:positionV>
                <wp:extent cx="3845560" cy="752475"/>
                <wp:effectExtent l="0" t="0" r="2540" b="9525"/>
                <wp:wrapSquare wrapText="bothSides" distT="0" distB="0" distL="114300" distR="114300"/>
                <wp:docPr id="1" name="Rectángulo 1"/>
                <wp:cNvGraphicFramePr/>
                <a:graphic xmlns:a="http://schemas.openxmlformats.org/drawingml/2006/main">
                  <a:graphicData uri="http://schemas.microsoft.com/office/word/2010/wordprocessingShape">
                    <wps:wsp>
                      <wps:cNvSpPr/>
                      <wps:spPr>
                        <a:xfrm>
                          <a:off x="0" y="0"/>
                          <a:ext cx="3845560" cy="752475"/>
                        </a:xfrm>
                        <a:prstGeom prst="rect">
                          <a:avLst/>
                        </a:prstGeom>
                        <a:noFill/>
                        <a:ln>
                          <a:noFill/>
                        </a:ln>
                      </wps:spPr>
                      <wps:txbx>
                        <w:txbxContent>
                          <w:p w14:paraId="7DCD16C0" w14:textId="77777777" w:rsidR="00EF10CD" w:rsidRDefault="00B05EF6">
                            <w:pPr>
                              <w:spacing w:before="120" w:after="40" w:line="219" w:lineRule="auto"/>
                              <w:jc w:val="right"/>
                              <w:textDirection w:val="btLr"/>
                            </w:pPr>
                            <w:r>
                              <w:rPr>
                                <w:rFonts w:ascii="Noto Sans" w:eastAsia="Noto Sans" w:hAnsi="Noto Sans" w:cs="Noto Sans"/>
                                <w:color w:val="BA8C54"/>
                                <w:sz w:val="28"/>
                              </w:rPr>
                              <w:t>BOLETÍN DE PRENSA</w:t>
                            </w:r>
                          </w:p>
                          <w:p w14:paraId="3FEEAE13" w14:textId="5ACF139D" w:rsidR="00EF10CD" w:rsidRDefault="00B05EF6">
                            <w:pPr>
                              <w:spacing w:before="120" w:after="40" w:line="219" w:lineRule="auto"/>
                              <w:jc w:val="right"/>
                              <w:textDirection w:val="btLr"/>
                            </w:pPr>
                            <w:r>
                              <w:rPr>
                                <w:rFonts w:ascii="Noto Sans" w:eastAsia="Noto Sans" w:hAnsi="Noto Sans" w:cs="Noto Sans"/>
                                <w:color w:val="000000"/>
                                <w:sz w:val="20"/>
                              </w:rPr>
                              <w:t xml:space="preserve">Ciudad de México, </w:t>
                            </w:r>
                            <w:r w:rsidR="00D81FBA">
                              <w:rPr>
                                <w:rFonts w:ascii="Noto Sans" w:eastAsia="Noto Sans" w:hAnsi="Noto Sans" w:cs="Noto Sans"/>
                                <w:color w:val="000000"/>
                                <w:sz w:val="20"/>
                              </w:rPr>
                              <w:t xml:space="preserve">martes 08 </w:t>
                            </w:r>
                            <w:r>
                              <w:rPr>
                                <w:rFonts w:ascii="Noto Sans" w:eastAsia="Noto Sans" w:hAnsi="Noto Sans" w:cs="Noto Sans"/>
                                <w:color w:val="000000"/>
                                <w:sz w:val="20"/>
                              </w:rPr>
                              <w:t xml:space="preserve">de septiembre de 2026 </w:t>
                            </w:r>
                          </w:p>
                          <w:p w14:paraId="4298DF27" w14:textId="409594A8" w:rsidR="00EF10CD" w:rsidRDefault="00D81FBA" w:rsidP="00D81FBA">
                            <w:pPr>
                              <w:spacing w:before="120" w:after="40" w:line="219" w:lineRule="auto"/>
                              <w:jc w:val="right"/>
                              <w:textDirection w:val="btLr"/>
                            </w:pPr>
                            <w:r w:rsidRPr="00D81FBA">
                              <w:rPr>
                                <w:rFonts w:ascii="Noto Sans" w:eastAsia="Noto Sans" w:hAnsi="Noto Sans" w:cs="Noto Sans"/>
                                <w:color w:val="000000"/>
                                <w:sz w:val="20"/>
                              </w:rPr>
                              <w:t>No. 478/2026</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F884335" id="Rectángulo 1" o:spid="_x0000_s1026" style="position:absolute;left:0;text-align:left;margin-left:186.3pt;margin-top:0;width:302.8pt;height:5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" filled="f" stroked="f">
                <v:textbox inset="0,0,0,0">
                  <w:txbxContent>
                    <w:p w14:paraId="7DCD16C0" w14:textId="77777777" w:rsidR="00EF10CD" w:rsidRDefault="00B05EF6">
                      <w:pPr>
                        <w:spacing w:before="120" w:after="40" w:line="219" w:lineRule="auto"/>
                        <w:jc w:val="right"/>
                        <w:textDirection w:val="btLr"/>
                      </w:pPr>
                      <w:r>
                        <w:rPr>
                          <w:rFonts w:ascii="Noto Sans" w:eastAsia="Noto Sans" w:hAnsi="Noto Sans" w:cs="Noto Sans"/>
                          <w:color w:val="BA8C54"/>
                          <w:sz w:val="28"/>
                        </w:rPr>
                        <w:t>BOLETÍN DE PRENSA</w:t>
                      </w:r>
                    </w:p>
                    <w:p w14:paraId="3FEEAE13" w14:textId="5ACF139D" w:rsidR="00EF10CD" w:rsidRDefault="00B05EF6">
                      <w:pPr>
                        <w:spacing w:before="120" w:after="40" w:line="219" w:lineRule="auto"/>
                        <w:jc w:val="right"/>
                        <w:textDirection w:val="btLr"/>
                      </w:pPr>
                      <w:r>
                        <w:rPr>
                          <w:rFonts w:ascii="Noto Sans" w:eastAsia="Noto Sans" w:hAnsi="Noto Sans" w:cs="Noto Sans"/>
                          <w:color w:val="000000"/>
                          <w:sz w:val="20"/>
                        </w:rPr>
                        <w:t xml:space="preserve">Ciudad de México, </w:t>
                      </w:r>
                      <w:r w:rsidR="00D81FBA">
                        <w:rPr>
                          <w:rFonts w:ascii="Noto Sans" w:eastAsia="Noto Sans" w:hAnsi="Noto Sans" w:cs="Noto Sans"/>
                          <w:color w:val="000000"/>
                          <w:sz w:val="20"/>
                        </w:rPr>
                        <w:t xml:space="preserve">martes 08 </w:t>
                      </w:r>
                      <w:r>
                        <w:rPr>
                          <w:rFonts w:ascii="Noto Sans" w:eastAsia="Noto Sans" w:hAnsi="Noto Sans" w:cs="Noto Sans"/>
                          <w:color w:val="000000"/>
                          <w:sz w:val="20"/>
                        </w:rPr>
                        <w:t xml:space="preserve">de septiembre de 2026 </w:t>
                      </w:r>
                    </w:p>
                    <w:p w14:paraId="4298DF27" w14:textId="409594A8" w:rsidR="00EF10CD" w:rsidRDefault="00D81FBA" w:rsidP="00D81FBA">
                      <w:pPr>
                        <w:spacing w:before="120" w:after="40" w:line="219" w:lineRule="auto"/>
                        <w:jc w:val="right"/>
                        <w:textDirection w:val="btLr"/>
                      </w:pPr>
                      <w:r w:rsidRPr="00D81FBA">
                        <w:rPr>
                          <w:rFonts w:ascii="Noto Sans" w:eastAsia="Noto Sans" w:hAnsi="Noto Sans" w:cs="Noto Sans"/>
                          <w:color w:val="000000"/>
                          <w:sz w:val="20"/>
                        </w:rPr>
                        <w:t>No. 478/2026</w:t>
                      </w:r>
                    </w:p>
                  </w:txbxContent>
                </v:textbox>
                <w10:wrap type="square"/>
              </v:rect>
            </w:pict>
          </mc:Fallback>
        </mc:AlternateContent>
      </w:r>
      <w:r w:rsidR="00B05EF6">
        <w:rPr>
          <w:rFonts w:ascii="Geom" w:eastAsia="Geom" w:hAnsi="Geom" w:cs="Geom"/>
          <w:sz w:val="21"/>
          <w:szCs w:val="21"/>
        </w:rPr>
        <w:t xml:space="preserve"> </w:t>
      </w:r>
    </w:p>
    <w:p w14:paraId="49B6A27B" w14:textId="77777777" w:rsidR="00EF10CD" w:rsidRDefault="00EF10CD">
      <w:pPr>
        <w:jc w:val="both"/>
        <w:rPr>
          <w:rFonts w:ascii="Noto Sans" w:eastAsia="Noto Sans" w:hAnsi="Noto Sans" w:cs="Noto Sans"/>
          <w:sz w:val="19"/>
          <w:szCs w:val="19"/>
        </w:rPr>
      </w:pPr>
    </w:p>
    <w:p w14:paraId="7E842C69" w14:textId="77777777" w:rsidR="00EF10CD" w:rsidRDefault="00EF10CD">
      <w:pPr>
        <w:jc w:val="both"/>
        <w:rPr>
          <w:rFonts w:ascii="Noto Sans" w:eastAsia="Noto Sans" w:hAnsi="Noto Sans" w:cs="Noto Sans"/>
          <w:sz w:val="19"/>
          <w:szCs w:val="19"/>
        </w:rPr>
      </w:pPr>
    </w:p>
    <w:p w14:paraId="2FA8AF48" w14:textId="77777777" w:rsidR="00EF10CD" w:rsidRDefault="00EF10CD">
      <w:pPr>
        <w:jc w:val="center"/>
        <w:rPr>
          <w:rFonts w:ascii="Noto Sans" w:eastAsia="Noto Sans" w:hAnsi="Noto Sans" w:cs="Noto Sans"/>
          <w:b/>
          <w:bCs/>
          <w:sz w:val="32"/>
          <w:szCs w:val="32"/>
        </w:rPr>
      </w:pPr>
    </w:p>
    <w:p w14:paraId="75592FCD" w14:textId="77777777" w:rsidR="00EF10CD" w:rsidRDefault="00B05EF6">
      <w:pPr>
        <w:ind w:right="49"/>
        <w:jc w:val="center"/>
        <w:rPr>
          <w:rFonts w:ascii="Noto Sans" w:eastAsia="Noto Sans" w:hAnsi="Noto Sans" w:cs="Noto Sans"/>
          <w:b/>
          <w:bCs/>
          <w:sz w:val="32"/>
          <w:szCs w:val="32"/>
        </w:rPr>
      </w:pPr>
      <w:r>
        <w:rPr>
          <w:rFonts w:ascii="Noto Sans" w:eastAsia="Noto Sans" w:hAnsi="Noto Sans" w:cs="Noto Sans"/>
          <w:b/>
          <w:bCs/>
          <w:sz w:val="32"/>
          <w:szCs w:val="32"/>
        </w:rPr>
        <w:t>IMSS proyecta beneficiar a 1.2 millones de derechohabientes con nueva unidad de diagnóstico en Quintana Roo</w:t>
      </w:r>
    </w:p>
    <w:p w14:paraId="798BB2B8" w14:textId="77777777" w:rsidR="00EF10CD" w:rsidRDefault="00EF10CD">
      <w:pPr>
        <w:ind w:left="-567" w:right="-1085"/>
        <w:jc w:val="center"/>
        <w:rPr>
          <w:rFonts w:ascii="Noto Sans" w:eastAsia="Noto Sans" w:hAnsi="Noto Sans" w:cs="Noto Sans"/>
          <w:b/>
          <w:bCs/>
          <w:sz w:val="20"/>
          <w:szCs w:val="20"/>
        </w:rPr>
      </w:pPr>
    </w:p>
    <w:p w14:paraId="7F5448BB" w14:textId="77777777" w:rsidR="00EF10CD" w:rsidRDefault="00B05EF6">
      <w:pPr>
        <w:numPr>
          <w:ilvl w:val="0"/>
          <w:numId w:val="1"/>
        </w:numPr>
        <w:pBdr>
          <w:top w:val="nil"/>
          <w:left w:val="nil"/>
          <w:bottom w:val="nil"/>
          <w:right w:val="nil"/>
          <w:between w:val="nil"/>
        </w:pBdr>
        <w:ind w:right="49" w:hanging="360"/>
        <w:jc w:val="both"/>
        <w:rPr>
          <w:b/>
          <w:bCs/>
          <w:color w:val="000000"/>
          <w:sz w:val="20"/>
          <w:szCs w:val="20"/>
        </w:rPr>
      </w:pPr>
      <w:r>
        <w:rPr>
          <w:rFonts w:ascii="Noto Sans" w:eastAsia="Noto Sans" w:hAnsi="Noto Sans" w:cs="Noto Sans"/>
          <w:b/>
          <w:bCs/>
          <w:color w:val="000000"/>
          <w:sz w:val="20"/>
          <w:szCs w:val="20"/>
        </w:rPr>
        <w:t>La Unidad de Diagnóstico y Tratamiento Ambulatorio contará con acelerador lineal, PET Scan, Resonador Magnético de 3 Teslas y Tomógrafo de 256 cortes, entre otros servicios.</w:t>
      </w:r>
    </w:p>
    <w:p w14:paraId="5F7732EE" w14:textId="77777777" w:rsidR="00EF10CD" w:rsidRDefault="00B05EF6">
      <w:pPr>
        <w:numPr>
          <w:ilvl w:val="0"/>
          <w:numId w:val="1"/>
        </w:numPr>
        <w:pBdr>
          <w:top w:val="nil"/>
          <w:left w:val="nil"/>
          <w:bottom w:val="nil"/>
          <w:right w:val="nil"/>
          <w:between w:val="nil"/>
        </w:pBdr>
        <w:ind w:right="49" w:hanging="360"/>
        <w:jc w:val="both"/>
        <w:rPr>
          <w:b/>
          <w:bCs/>
          <w:color w:val="000000"/>
          <w:sz w:val="20"/>
          <w:szCs w:val="20"/>
        </w:rPr>
      </w:pPr>
      <w:r>
        <w:rPr>
          <w:rFonts w:ascii="Noto Sans" w:eastAsia="Noto Sans" w:hAnsi="Noto Sans" w:cs="Noto Sans"/>
          <w:b/>
          <w:bCs/>
          <w:color w:val="000000"/>
          <w:sz w:val="20"/>
          <w:szCs w:val="20"/>
        </w:rPr>
        <w:t>El proyecto busca consolidar un modelo regional de alta especialidad diagnóstica que también beneficie a derechohabientes de Campeche y Yucatán.</w:t>
      </w:r>
    </w:p>
    <w:p w14:paraId="7AE9BE2E" w14:textId="77777777" w:rsidR="00EF10CD" w:rsidRDefault="00EF10CD">
      <w:pPr>
        <w:ind w:right="49"/>
        <w:jc w:val="both"/>
        <w:rPr>
          <w:rFonts w:ascii="Noto Sans" w:eastAsia="Noto Sans" w:hAnsi="Noto Sans" w:cs="Noto Sans"/>
          <w:sz w:val="20"/>
          <w:szCs w:val="20"/>
        </w:rPr>
      </w:pPr>
    </w:p>
    <w:p w14:paraId="7431F639" w14:textId="77777777" w:rsidR="00EF10CD" w:rsidRDefault="00B05EF6">
      <w:pPr>
        <w:ind w:right="49"/>
        <w:jc w:val="both"/>
        <w:rPr>
          <w:rFonts w:ascii="Noto Sans" w:eastAsia="Noto Sans" w:hAnsi="Noto Sans" w:cs="Noto Sans"/>
          <w:sz w:val="20"/>
          <w:szCs w:val="20"/>
        </w:rPr>
      </w:pPr>
      <w:r>
        <w:rPr>
          <w:rFonts w:ascii="Noto Sans" w:eastAsia="Noto Sans" w:hAnsi="Noto Sans" w:cs="Noto Sans"/>
          <w:sz w:val="20"/>
          <w:szCs w:val="20"/>
        </w:rPr>
        <w:t>El Instituto Mexicano del Seguro Social (IMSS) proyecta para 2030 beneficiar aproximadamente a 1.2 millones de derechohabientes en Quintana Roo con una nueva Unidad de Diagnóstico y Tratamiento Ambulatorio, infraestructura que permitirá fortalecer la capacidad de atención y avanzar hacia un modelo regional de alta especialidad diagnóstica en el sureste del país.</w:t>
      </w:r>
    </w:p>
    <w:p w14:paraId="3BBFF14D" w14:textId="77777777" w:rsidR="00EF10CD" w:rsidRDefault="00EF10CD">
      <w:pPr>
        <w:ind w:right="49"/>
        <w:jc w:val="both"/>
        <w:rPr>
          <w:rFonts w:ascii="Noto Sans" w:eastAsia="Noto Sans" w:hAnsi="Noto Sans" w:cs="Noto Sans"/>
          <w:sz w:val="20"/>
          <w:szCs w:val="20"/>
        </w:rPr>
      </w:pPr>
    </w:p>
    <w:p w14:paraId="4D98F5E8" w14:textId="77777777" w:rsidR="00EF10CD" w:rsidRDefault="00B05EF6">
      <w:pPr>
        <w:ind w:right="49"/>
        <w:jc w:val="both"/>
        <w:rPr>
          <w:rFonts w:ascii="Noto Sans" w:eastAsia="Noto Sans" w:hAnsi="Noto Sans" w:cs="Noto Sans"/>
          <w:sz w:val="20"/>
          <w:szCs w:val="20"/>
        </w:rPr>
      </w:pPr>
      <w:r>
        <w:rPr>
          <w:rFonts w:ascii="Noto Sans" w:eastAsia="Noto Sans" w:hAnsi="Noto Sans" w:cs="Noto Sans"/>
          <w:sz w:val="20"/>
          <w:szCs w:val="20"/>
        </w:rPr>
        <w:t xml:space="preserve">Al presentar la propuesta ante el H. Consejo Técnico, que encabezó el director general del IMSS, Zoé Robledo, el director de Administración, </w:t>
      </w:r>
      <w:proofErr w:type="spellStart"/>
      <w:r>
        <w:rPr>
          <w:rFonts w:ascii="Noto Sans" w:eastAsia="Noto Sans" w:hAnsi="Noto Sans" w:cs="Noto Sans"/>
          <w:sz w:val="20"/>
          <w:szCs w:val="20"/>
        </w:rPr>
        <w:t>Borsalino</w:t>
      </w:r>
      <w:proofErr w:type="spellEnd"/>
      <w:r>
        <w:rPr>
          <w:rFonts w:ascii="Noto Sans" w:eastAsia="Noto Sans" w:hAnsi="Noto Sans" w:cs="Noto Sans"/>
          <w:sz w:val="20"/>
          <w:szCs w:val="20"/>
        </w:rPr>
        <w:t xml:space="preserve"> González Andrade, planteó la donación de un predio de 4 mil 349.22 metros cuadrados, ofrecido por el estado de Quintana Roo, el cual ha cumplido con el proceso documental establecido en los lineamientos vigentes, incluido el uso de suelo necesario.</w:t>
      </w:r>
    </w:p>
    <w:p w14:paraId="001EA472" w14:textId="77777777" w:rsidR="00EF10CD" w:rsidRDefault="00EF10CD">
      <w:pPr>
        <w:ind w:right="49"/>
        <w:jc w:val="both"/>
        <w:rPr>
          <w:rFonts w:ascii="Noto Sans" w:eastAsia="Noto Sans" w:hAnsi="Noto Sans" w:cs="Noto Sans"/>
          <w:sz w:val="20"/>
          <w:szCs w:val="20"/>
        </w:rPr>
      </w:pPr>
    </w:p>
    <w:p w14:paraId="329750C1" w14:textId="77777777" w:rsidR="00EF10CD" w:rsidRDefault="00B05EF6">
      <w:pPr>
        <w:ind w:right="49"/>
        <w:jc w:val="both"/>
        <w:rPr>
          <w:rFonts w:ascii="Noto Sans" w:eastAsia="Noto Sans" w:hAnsi="Noto Sans" w:cs="Noto Sans"/>
          <w:sz w:val="20"/>
          <w:szCs w:val="20"/>
        </w:rPr>
      </w:pPr>
      <w:r>
        <w:rPr>
          <w:rFonts w:ascii="Noto Sans" w:eastAsia="Noto Sans" w:hAnsi="Noto Sans" w:cs="Noto Sans"/>
          <w:sz w:val="20"/>
          <w:szCs w:val="20"/>
        </w:rPr>
        <w:t xml:space="preserve">Detalló que la nueva infraestructura contempla un acelerador lineal, con capacidad estimada para atender entre 25 y 40 pacientes por día; Medicina Nuclear, PET Scan, Resonador Magnético de 3 Teslas; Tomógrafo de 256 cortes; así como un Laboratorio de </w:t>
      </w:r>
      <w:proofErr w:type="spellStart"/>
      <w:r>
        <w:rPr>
          <w:rFonts w:ascii="Noto Sans" w:eastAsia="Noto Sans" w:hAnsi="Noto Sans" w:cs="Noto Sans"/>
          <w:sz w:val="20"/>
          <w:szCs w:val="20"/>
        </w:rPr>
        <w:t>Oncopatología</w:t>
      </w:r>
      <w:proofErr w:type="spellEnd"/>
      <w:r>
        <w:rPr>
          <w:rFonts w:ascii="Noto Sans" w:eastAsia="Noto Sans" w:hAnsi="Noto Sans" w:cs="Noto Sans"/>
          <w:sz w:val="20"/>
          <w:szCs w:val="20"/>
        </w:rPr>
        <w:t xml:space="preserve"> e Inmunohistoquímica, Quimioterapias ambulatorias, Hemodiálisis y Radiología Intervencionista.</w:t>
      </w:r>
    </w:p>
    <w:p w14:paraId="7201BD73" w14:textId="77777777" w:rsidR="00EF10CD" w:rsidRDefault="00EF10CD">
      <w:pPr>
        <w:ind w:right="49"/>
        <w:jc w:val="both"/>
        <w:rPr>
          <w:rFonts w:ascii="Noto Sans" w:eastAsia="Noto Sans" w:hAnsi="Noto Sans" w:cs="Noto Sans"/>
          <w:sz w:val="20"/>
          <w:szCs w:val="20"/>
        </w:rPr>
      </w:pPr>
    </w:p>
    <w:p w14:paraId="47CDDBFD" w14:textId="77777777" w:rsidR="00EF10CD" w:rsidRDefault="00B05EF6">
      <w:pPr>
        <w:ind w:right="49"/>
        <w:jc w:val="both"/>
        <w:rPr>
          <w:rFonts w:ascii="Noto Sans" w:eastAsia="Noto Sans" w:hAnsi="Noto Sans" w:cs="Noto Sans"/>
          <w:sz w:val="20"/>
          <w:szCs w:val="20"/>
        </w:rPr>
      </w:pPr>
      <w:r>
        <w:rPr>
          <w:rFonts w:ascii="Noto Sans" w:eastAsia="Noto Sans" w:hAnsi="Noto Sans" w:cs="Noto Sans"/>
          <w:sz w:val="20"/>
          <w:szCs w:val="20"/>
        </w:rPr>
        <w:t>González Andrade explicó que la unidad busca consolidar un modelo regional de alta especialidad diagnóstica que no sólo atenderá las necesidades de la población de Quintana Roo, sino que proyecta convertirse en un polo de especialidades que beneficie a derechohabientes de entidades del sur del país, como Campeche y Yucatán.</w:t>
      </w:r>
    </w:p>
    <w:p w14:paraId="3F7D5273" w14:textId="77777777" w:rsidR="00EF10CD" w:rsidRDefault="00EF10CD">
      <w:pPr>
        <w:ind w:right="49"/>
        <w:jc w:val="both"/>
        <w:rPr>
          <w:rFonts w:ascii="Noto Sans" w:eastAsia="Noto Sans" w:hAnsi="Noto Sans" w:cs="Noto Sans"/>
          <w:sz w:val="20"/>
          <w:szCs w:val="20"/>
        </w:rPr>
      </w:pPr>
    </w:p>
    <w:p w14:paraId="45D0E1F0" w14:textId="77777777" w:rsidR="00EF10CD" w:rsidRDefault="00B05EF6">
      <w:pPr>
        <w:ind w:right="49"/>
        <w:jc w:val="both"/>
        <w:rPr>
          <w:rFonts w:ascii="Noto Sans" w:eastAsia="Noto Sans" w:hAnsi="Noto Sans" w:cs="Noto Sans"/>
          <w:sz w:val="20"/>
          <w:szCs w:val="20"/>
        </w:rPr>
      </w:pPr>
      <w:r>
        <w:rPr>
          <w:rFonts w:ascii="Noto Sans" w:eastAsia="Noto Sans" w:hAnsi="Noto Sans" w:cs="Noto Sans"/>
          <w:sz w:val="20"/>
          <w:szCs w:val="20"/>
        </w:rPr>
        <w:t xml:space="preserve">Con esta capacidad instalada, dijo, el IMSS busca que la </w:t>
      </w:r>
      <w:proofErr w:type="spellStart"/>
      <w:r>
        <w:rPr>
          <w:rFonts w:ascii="Noto Sans" w:eastAsia="Noto Sans" w:hAnsi="Noto Sans" w:cs="Noto Sans"/>
          <w:sz w:val="20"/>
          <w:szCs w:val="20"/>
        </w:rPr>
        <w:t>derechohabiencia</w:t>
      </w:r>
      <w:proofErr w:type="spellEnd"/>
      <w:r>
        <w:rPr>
          <w:rFonts w:ascii="Noto Sans" w:eastAsia="Noto Sans" w:hAnsi="Noto Sans" w:cs="Noto Sans"/>
          <w:sz w:val="20"/>
          <w:szCs w:val="20"/>
        </w:rPr>
        <w:t xml:space="preserve"> acceda con mayor prontitud, eficacia y eficiencia a estudios que requieren ser realizados en hospitales de especialidad, lo que permitirá obtener diagnósticos y atención en menor tiempo y con mejores resultados.</w:t>
      </w:r>
    </w:p>
    <w:p w14:paraId="79789E0F" w14:textId="77777777" w:rsidR="00EF10CD" w:rsidRDefault="00EF10CD">
      <w:pPr>
        <w:ind w:right="49"/>
        <w:jc w:val="both"/>
        <w:rPr>
          <w:rFonts w:ascii="Noto Sans" w:eastAsia="Noto Sans" w:hAnsi="Noto Sans" w:cs="Noto Sans"/>
          <w:sz w:val="20"/>
          <w:szCs w:val="20"/>
        </w:rPr>
      </w:pPr>
    </w:p>
    <w:p w14:paraId="7F6CBFF8" w14:textId="3C074444" w:rsidR="00EF10CD" w:rsidRDefault="00B05EF6">
      <w:pPr>
        <w:ind w:right="49"/>
        <w:jc w:val="both"/>
        <w:rPr>
          <w:rFonts w:ascii="Noto Sans" w:eastAsia="Noto Sans" w:hAnsi="Noto Sans" w:cs="Noto Sans"/>
          <w:sz w:val="20"/>
          <w:szCs w:val="20"/>
        </w:rPr>
      </w:pPr>
      <w:r>
        <w:rPr>
          <w:rFonts w:ascii="Noto Sans" w:eastAsia="Noto Sans" w:hAnsi="Noto Sans" w:cs="Noto Sans"/>
          <w:sz w:val="20"/>
          <w:szCs w:val="20"/>
        </w:rPr>
        <w:t xml:space="preserve">La nueva infraestructura representa una oportunidad para fortalecer la prestación de servicios médicos del IMSS en esta región del país y acercar estudios de alta especialidad a la </w:t>
      </w:r>
      <w:proofErr w:type="spellStart"/>
      <w:r>
        <w:rPr>
          <w:rFonts w:ascii="Noto Sans" w:eastAsia="Noto Sans" w:hAnsi="Noto Sans" w:cs="Noto Sans"/>
          <w:sz w:val="20"/>
          <w:szCs w:val="20"/>
        </w:rPr>
        <w:t>derechohabiencia</w:t>
      </w:r>
      <w:proofErr w:type="spellEnd"/>
      <w:r>
        <w:rPr>
          <w:rFonts w:ascii="Noto Sans" w:eastAsia="Noto Sans" w:hAnsi="Noto Sans" w:cs="Noto Sans"/>
          <w:sz w:val="20"/>
          <w:szCs w:val="20"/>
        </w:rPr>
        <w:t>.</w:t>
      </w:r>
    </w:p>
    <w:p w14:paraId="0A0D8522" w14:textId="77777777" w:rsidR="00EF10CD" w:rsidRDefault="00EF10CD">
      <w:pPr>
        <w:ind w:right="49"/>
        <w:rPr>
          <w:rFonts w:ascii="Noto Sans" w:eastAsia="Noto Sans" w:hAnsi="Noto Sans" w:cs="Noto Sans"/>
          <w:sz w:val="20"/>
          <w:szCs w:val="20"/>
        </w:rPr>
      </w:pPr>
    </w:p>
    <w:p w14:paraId="43B91C87" w14:textId="77777777" w:rsidR="00EF10CD" w:rsidRDefault="00B05EF6">
      <w:pPr>
        <w:ind w:right="49"/>
        <w:jc w:val="center"/>
        <w:rPr>
          <w:rFonts w:ascii="Noto Sans" w:eastAsia="Noto Sans" w:hAnsi="Noto Sans" w:cs="Noto Sans"/>
          <w:b/>
          <w:bCs/>
          <w:sz w:val="20"/>
          <w:szCs w:val="20"/>
        </w:rPr>
      </w:pPr>
      <w:r>
        <w:rPr>
          <w:rFonts w:ascii="Noto Sans" w:eastAsia="Noto Sans" w:hAnsi="Noto Sans" w:cs="Noto Sans"/>
          <w:b/>
          <w:bCs/>
          <w:sz w:val="20"/>
          <w:szCs w:val="20"/>
        </w:rPr>
        <w:t>--- o0o ---</w:t>
      </w:r>
    </w:p>
    <w:p w14:paraId="18777116" w14:textId="77777777" w:rsidR="00B05EF6" w:rsidRDefault="00B05EF6">
      <w:pPr>
        <w:ind w:right="49"/>
        <w:jc w:val="center"/>
        <w:rPr>
          <w:rFonts w:ascii="Noto Sans" w:eastAsia="Noto Sans" w:hAnsi="Noto Sans" w:cs="Noto Sans"/>
          <w:b/>
          <w:bCs/>
          <w:sz w:val="20"/>
          <w:szCs w:val="20"/>
        </w:rPr>
      </w:pPr>
    </w:p>
    <w:p w14:paraId="3D919974" w14:textId="15B8BA81" w:rsidR="00B05EF6" w:rsidRDefault="00B05EF6" w:rsidP="00B05EF6">
      <w:pPr>
        <w:ind w:right="49"/>
        <w:jc w:val="both"/>
      </w:pPr>
      <w:r>
        <w:lastRenderedPageBreak/>
        <w:t>L</w:t>
      </w:r>
      <w:r>
        <w:t xml:space="preserve">INK DE FOTOS </w:t>
      </w:r>
    </w:p>
    <w:p w14:paraId="0364A49D" w14:textId="1C36AA10" w:rsidR="00B05EF6" w:rsidRDefault="00B05EF6" w:rsidP="00B05EF6">
      <w:pPr>
        <w:ind w:right="49"/>
        <w:jc w:val="both"/>
        <w:rPr>
          <w:rFonts w:ascii="Noto Sans" w:eastAsia="Noto Sans" w:hAnsi="Noto Sans" w:cs="Noto Sans"/>
          <w:sz w:val="22"/>
          <w:szCs w:val="22"/>
        </w:rPr>
      </w:pPr>
      <w:hyperlink r:id="rId7" w:history="1">
        <w:r w:rsidRPr="00437094">
          <w:rPr>
            <w:rStyle w:val="Hipervnculo"/>
          </w:rPr>
          <w:t>https://drive.google.com/drive/folders/1fV-Bbk9CU1Rb7FGUQ9-fA_bqqtPqwR-U</w:t>
        </w:r>
      </w:hyperlink>
      <w:r>
        <w:t xml:space="preserve"> </w:t>
      </w:r>
    </w:p>
    <w:sectPr w:rsidR="00B05EF6">
      <w:headerReference w:type="default" r:id="rId8"/>
      <w:pgSz w:w="12240" w:h="15840"/>
      <w:pgMar w:top="2342" w:right="1134" w:bottom="1702"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B08BA" w14:textId="77777777" w:rsidR="00005285" w:rsidRDefault="00005285">
      <w:r>
        <w:separator/>
      </w:r>
    </w:p>
  </w:endnote>
  <w:endnote w:type="continuationSeparator" w:id="0">
    <w:p w14:paraId="36005472" w14:textId="77777777" w:rsidR="00005285" w:rsidRDefault="00005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755BC85-AC4C-495E-8FF2-DD708C899ED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embedRegular r:id="rId2" w:fontKey="{17A042E0-1D80-4FA0-80CE-24A4E1B21327}"/>
    <w:embedBold r:id="rId3" w:fontKey="{A9FFEC91-F2BD-403B-9E8E-8303404DCCF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BCD345B-E9A3-4FDE-A133-601EC51981D6}"/>
  </w:font>
  <w:font w:name="Noto Sans">
    <w:charset w:val="00"/>
    <w:family w:val="swiss"/>
    <w:pitch w:val="variable"/>
    <w:sig w:usb0="E00082FF" w:usb1="400078FF" w:usb2="00000021" w:usb3="00000000" w:csb0="0000019F" w:csb1="00000000"/>
    <w:embedRegular r:id="rId5" w:fontKey="{F229579E-993C-4688-AB73-91BD18F3C73C}"/>
    <w:embedBold r:id="rId6" w:fontKey="{9F634227-B819-4EC8-B6FD-E81BBCDD29AE}"/>
  </w:font>
  <w:font w:name="Geom">
    <w:charset w:val="00"/>
    <w:family w:val="auto"/>
    <w:pitch w:val="default"/>
    <w:embedRegular r:id="rId7" w:fontKey="{92358549-7A23-4CA5-B0E6-BDF7601AAE18}"/>
  </w:font>
  <w:font w:name="Cambria">
    <w:panose1 w:val="02040503050406030204"/>
    <w:charset w:val="00"/>
    <w:family w:val="roman"/>
    <w:pitch w:val="variable"/>
    <w:sig w:usb0="E00006FF" w:usb1="420024FF" w:usb2="02000000" w:usb3="00000000" w:csb0="0000019F" w:csb1="00000000"/>
    <w:embedRegular r:id="rId8" w:fontKey="{5319313C-322C-4349-9CE3-83AF0F82F47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C423D" w14:textId="77777777" w:rsidR="00005285" w:rsidRDefault="00005285">
      <w:r>
        <w:separator/>
      </w:r>
    </w:p>
  </w:footnote>
  <w:footnote w:type="continuationSeparator" w:id="0">
    <w:p w14:paraId="07BEC188" w14:textId="77777777" w:rsidR="00005285" w:rsidRDefault="00005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1FC6" w14:textId="77777777" w:rsidR="00EF10CD" w:rsidRDefault="00B05EF6">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8240" behindDoc="1" locked="0" layoutInCell="1" hidden="0" allowOverlap="1" wp14:anchorId="2D60C826" wp14:editId="74EB313E">
          <wp:simplePos x="0" y="0"/>
          <wp:positionH relativeFrom="column">
            <wp:posOffset>-765809</wp:posOffset>
          </wp:positionH>
          <wp:positionV relativeFrom="paragraph">
            <wp:posOffset>-441324</wp:posOffset>
          </wp:positionV>
          <wp:extent cx="7800230" cy="10094052"/>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0230" cy="10094052"/>
                  </a:xfrm>
                  <a:prstGeom prst="rect">
                    <a:avLst/>
                  </a:prstGeom>
                  <a:ln/>
                </pic:spPr>
              </pic:pic>
            </a:graphicData>
          </a:graphic>
        </wp:anchor>
      </w:drawing>
    </w:r>
  </w:p>
  <w:p w14:paraId="088AC613" w14:textId="77777777" w:rsidR="00EF10CD" w:rsidRDefault="00EF10CD">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4603E"/>
    <w:multiLevelType w:val="multilevel"/>
    <w:tmpl w:val="9BDE2036"/>
    <w:lvl w:ilvl="0">
      <w:start w:val="1"/>
      <w:numFmt w:val="bullet"/>
      <w:lvlText w:val="●"/>
      <w:lvlJc w:val="left"/>
      <w:pPr>
        <w:ind w:left="709" w:hanging="359"/>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num w:numId="1" w16cid:durableId="1768310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0CD"/>
    <w:rsid w:val="00005285"/>
    <w:rsid w:val="006945EB"/>
    <w:rsid w:val="006A3820"/>
    <w:rsid w:val="00A05E39"/>
    <w:rsid w:val="00B05EF6"/>
    <w:rsid w:val="00D81FBA"/>
    <w:rsid w:val="00EF10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5F473"/>
  <w15:docId w15:val="{3DED1DCF-800D-4A4F-B26F-BE8F371D8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ipervnculo">
    <w:name w:val="Hyperlink"/>
    <w:basedOn w:val="Fuentedeprrafopredeter"/>
    <w:uiPriority w:val="99"/>
    <w:unhideWhenUsed/>
    <w:rsid w:val="00B05EF6"/>
    <w:rPr>
      <w:color w:val="0000FF" w:themeColor="hyperlink"/>
      <w:u w:val="single"/>
    </w:rPr>
  </w:style>
  <w:style w:type="character" w:styleId="Mencinsinresolver">
    <w:name w:val="Unresolved Mention"/>
    <w:basedOn w:val="Fuentedeprrafopredeter"/>
    <w:uiPriority w:val="99"/>
    <w:semiHidden/>
    <w:unhideWhenUsed/>
    <w:rsid w:val="00B05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fV-Bbk9CU1Rb7FGUQ9-fA_bqqtPqw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394</Words>
  <Characters>2172</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Rogelio Alberto Ruiz Aleman</dc:creator>
  <cp:lastModifiedBy>Luz Maria Rico Jardon</cp:lastModifiedBy>
  <cp:revision>3</cp:revision>
  <dcterms:created xsi:type="dcterms:W3CDTF">2026-09-09T15:27:00Z</dcterms:created>
  <dcterms:modified xsi:type="dcterms:W3CDTF">2026-09-09T15:28:00Z</dcterms:modified>
</cp:coreProperties>
</file>