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CB44" w14:textId="77777777" w:rsidR="00010940" w:rsidRPr="000A408C" w:rsidRDefault="00010940" w:rsidP="00010940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64DD8" wp14:editId="011524F3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75823" w14:textId="77777777" w:rsidR="00010940" w:rsidRDefault="00010940" w:rsidP="00010940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72FD1FC3" w14:textId="23F27DDD" w:rsidR="00010940" w:rsidRPr="0090279C" w:rsidRDefault="00010940" w:rsidP="00010940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lunes 16 de junio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73B86F27" w14:textId="603DBFFB" w:rsidR="00010940" w:rsidRPr="004E0D31" w:rsidRDefault="00010940" w:rsidP="00010940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532A1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300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64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73F75823" w14:textId="77777777" w:rsidR="00010940" w:rsidRDefault="00010940" w:rsidP="00010940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72FD1FC3" w14:textId="23F27DDD" w:rsidR="00010940" w:rsidRPr="0090279C" w:rsidRDefault="00010940" w:rsidP="00010940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lunes 16 de junio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73B86F27" w14:textId="603DBFFB" w:rsidR="00010940" w:rsidRPr="004E0D31" w:rsidRDefault="00010940" w:rsidP="00010940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532A1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300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1C4A6B4" w14:textId="77777777" w:rsidR="00010940" w:rsidRPr="000A408C" w:rsidRDefault="00010940" w:rsidP="00010940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03C074E" w14:textId="77777777" w:rsidR="00010940" w:rsidRPr="000A408C" w:rsidRDefault="00010940" w:rsidP="00010940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CE38118" w14:textId="77777777" w:rsidR="00010940" w:rsidRDefault="00010940" w:rsidP="00010940">
      <w:pPr>
        <w:jc w:val="both"/>
        <w:rPr>
          <w:rFonts w:ascii="Noto Sans" w:hAnsi="Noto Sans" w:cs="Noto Sans"/>
        </w:rPr>
      </w:pPr>
    </w:p>
    <w:p w14:paraId="7848C4E4" w14:textId="093F2843" w:rsidR="00010940" w:rsidRPr="00532A1E" w:rsidRDefault="00010940" w:rsidP="00010940">
      <w:pPr>
        <w:spacing w:line="240" w:lineRule="atLeast"/>
        <w:jc w:val="center"/>
        <w:rPr>
          <w:rFonts w:ascii="Noto Sans" w:hAnsi="Noto Sans" w:cs="Noto Sans"/>
          <w:b/>
          <w:bCs/>
          <w:color w:val="000000" w:themeColor="text1"/>
          <w:sz w:val="36"/>
          <w:szCs w:val="36"/>
        </w:rPr>
      </w:pPr>
      <w:r w:rsidRPr="00532A1E">
        <w:rPr>
          <w:rFonts w:ascii="Noto Sans" w:hAnsi="Noto Sans" w:cs="Noto Sans"/>
          <w:b/>
          <w:bCs/>
          <w:color w:val="000000" w:themeColor="text1"/>
          <w:sz w:val="36"/>
          <w:szCs w:val="36"/>
        </w:rPr>
        <w:t>IMSS publica el Listado de Contratos de Servicios y Obras Especializados</w:t>
      </w:r>
    </w:p>
    <w:p w14:paraId="5ED92523" w14:textId="77777777" w:rsidR="00010940" w:rsidRPr="00532A1E" w:rsidRDefault="00010940" w:rsidP="00010940">
      <w:pPr>
        <w:spacing w:line="240" w:lineRule="atLeast"/>
        <w:jc w:val="both"/>
        <w:rPr>
          <w:rFonts w:ascii="Noto Sans" w:hAnsi="Noto Sans" w:cs="Noto Sans"/>
          <w:color w:val="000000" w:themeColor="text1"/>
        </w:rPr>
      </w:pPr>
    </w:p>
    <w:p w14:paraId="123CEA38" w14:textId="0ADD1031" w:rsidR="00010940" w:rsidRPr="00532A1E" w:rsidRDefault="00010940" w:rsidP="00010940">
      <w:pPr>
        <w:spacing w:line="240" w:lineRule="atLeast"/>
        <w:jc w:val="both"/>
        <w:rPr>
          <w:rFonts w:ascii="Noto Sans" w:hAnsi="Noto Sans" w:cs="Noto Sans"/>
          <w:color w:val="000000" w:themeColor="text1"/>
        </w:rPr>
      </w:pPr>
      <w:r w:rsidRPr="00532A1E">
        <w:rPr>
          <w:rFonts w:ascii="Noto Sans" w:hAnsi="Noto Sans" w:cs="Noto Sans"/>
          <w:color w:val="000000" w:themeColor="text1"/>
        </w:rPr>
        <w:t>El Instituto Mexicano de Seguro Social informa que el día 16 de junio publicó en su página de internet el “Listado Público” de contratos por servicios u obra</w:t>
      </w:r>
      <w:r w:rsidR="00A220BF" w:rsidRPr="00532A1E">
        <w:rPr>
          <w:rFonts w:ascii="Noto Sans" w:hAnsi="Noto Sans" w:cs="Noto Sans"/>
          <w:color w:val="000000" w:themeColor="text1"/>
        </w:rPr>
        <w:t>s</w:t>
      </w:r>
      <w:r w:rsidRPr="00532A1E">
        <w:rPr>
          <w:rFonts w:ascii="Noto Sans" w:hAnsi="Noto Sans" w:cs="Noto Sans"/>
          <w:color w:val="000000" w:themeColor="text1"/>
        </w:rPr>
        <w:t xml:space="preserve"> especializados, elaborado con información que ha sido reportada en la herramienta electrónica denominada Informativa de Contratos de Servicios u Obras Especializados (ICSOE), por los prestadores de servicios especializados o ejecutores de obra</w:t>
      </w:r>
      <w:r w:rsidR="00A220BF" w:rsidRPr="00532A1E">
        <w:rPr>
          <w:rFonts w:ascii="Noto Sans" w:hAnsi="Noto Sans" w:cs="Noto Sans"/>
          <w:color w:val="000000" w:themeColor="text1"/>
        </w:rPr>
        <w:t>s</w:t>
      </w:r>
      <w:r w:rsidRPr="00532A1E">
        <w:rPr>
          <w:rFonts w:ascii="Noto Sans" w:hAnsi="Noto Sans" w:cs="Noto Sans"/>
          <w:color w:val="000000" w:themeColor="text1"/>
        </w:rPr>
        <w:t xml:space="preserve"> especializada.</w:t>
      </w:r>
    </w:p>
    <w:p w14:paraId="76212464" w14:textId="77777777" w:rsidR="00010940" w:rsidRPr="00532A1E" w:rsidRDefault="00010940" w:rsidP="00010940">
      <w:pPr>
        <w:spacing w:line="240" w:lineRule="atLeast"/>
        <w:jc w:val="both"/>
        <w:rPr>
          <w:rFonts w:ascii="Noto Sans" w:hAnsi="Noto Sans" w:cs="Noto Sans"/>
          <w:color w:val="000000" w:themeColor="text1"/>
        </w:rPr>
      </w:pPr>
    </w:p>
    <w:p w14:paraId="45F20E5B" w14:textId="68A1553D" w:rsidR="00010940" w:rsidRPr="00532A1E" w:rsidRDefault="00010940" w:rsidP="00010940">
      <w:pPr>
        <w:spacing w:line="240" w:lineRule="atLeast"/>
        <w:jc w:val="both"/>
        <w:rPr>
          <w:rFonts w:ascii="Noto Sans" w:hAnsi="Noto Sans" w:cs="Noto Sans"/>
          <w:color w:val="000000" w:themeColor="text1"/>
        </w:rPr>
      </w:pPr>
      <w:r w:rsidRPr="00532A1E">
        <w:rPr>
          <w:rFonts w:ascii="Noto Sans" w:hAnsi="Noto Sans" w:cs="Noto Sans"/>
          <w:color w:val="000000" w:themeColor="text1"/>
        </w:rPr>
        <w:t>Lo anterior, con el objetivo de poner a disposición de la ciudadanía y las partes interesadas información sobre los contratos con que cuenta este Instituto, en cumplimiento de lo dispuesto en el artículo 15 A de la Ley del Seguro Social, así como el numeral 6 “Listado público” de los “Lineamientos generales para el cumplimiento de la obligación establecida en el tercer párrafo del artículo 15 A de la Ley del Seguro Social”, aprobados mediante el Acuerdo número ACDO.AS2.HCT.300322/68.P.DIR, dictado por el H. Consejo Técnico de este Instituto y publicado en el Diario Oficial de la Federación el 13 de abril de 2022.</w:t>
      </w:r>
    </w:p>
    <w:p w14:paraId="721D92BF" w14:textId="77777777" w:rsidR="00010940" w:rsidRPr="00532A1E" w:rsidRDefault="00010940" w:rsidP="00010940">
      <w:pPr>
        <w:spacing w:line="240" w:lineRule="atLeast"/>
        <w:jc w:val="both"/>
        <w:rPr>
          <w:rFonts w:ascii="Noto Sans" w:hAnsi="Noto Sans" w:cs="Noto Sans"/>
          <w:color w:val="000000" w:themeColor="text1"/>
        </w:rPr>
      </w:pPr>
      <w:r w:rsidRPr="00532A1E">
        <w:rPr>
          <w:rFonts w:ascii="Noto Sans" w:hAnsi="Noto Sans" w:cs="Noto Sans"/>
          <w:color w:val="000000" w:themeColor="text1"/>
        </w:rPr>
        <w:t> </w:t>
      </w:r>
    </w:p>
    <w:p w14:paraId="7393937B" w14:textId="77777777" w:rsidR="00010940" w:rsidRPr="00532A1E" w:rsidRDefault="00010940" w:rsidP="00010940">
      <w:pPr>
        <w:spacing w:line="240" w:lineRule="atLeast"/>
        <w:jc w:val="both"/>
        <w:rPr>
          <w:rFonts w:ascii="Noto Sans" w:hAnsi="Noto Sans" w:cs="Noto Sans"/>
          <w:color w:val="000000" w:themeColor="text1"/>
        </w:rPr>
      </w:pPr>
      <w:r w:rsidRPr="00532A1E">
        <w:rPr>
          <w:rFonts w:ascii="Noto Sans" w:hAnsi="Noto Sans" w:cs="Noto Sans"/>
          <w:color w:val="000000" w:themeColor="text1"/>
        </w:rPr>
        <w:t>Para la consulta del listado público existen dos opciones:</w:t>
      </w:r>
    </w:p>
    <w:p w14:paraId="7F8DDDAD" w14:textId="77777777" w:rsidR="00010940" w:rsidRPr="00635404" w:rsidRDefault="00010940" w:rsidP="00010940">
      <w:pPr>
        <w:spacing w:line="240" w:lineRule="atLeast"/>
        <w:jc w:val="both"/>
        <w:rPr>
          <w:rFonts w:ascii="Noto Sans" w:hAnsi="Noto Sans" w:cs="Noto Sans"/>
        </w:rPr>
      </w:pPr>
    </w:p>
    <w:p w14:paraId="007E29C4" w14:textId="77777777" w:rsidR="00010940" w:rsidRPr="00635404" w:rsidRDefault="00010940" w:rsidP="00010940">
      <w:pPr>
        <w:pStyle w:val="Prrafodelista"/>
        <w:numPr>
          <w:ilvl w:val="0"/>
          <w:numId w:val="2"/>
        </w:numPr>
        <w:spacing w:line="240" w:lineRule="atLeast"/>
        <w:contextualSpacing w:val="0"/>
        <w:jc w:val="both"/>
        <w:rPr>
          <w:rFonts w:ascii="Noto Sans" w:hAnsi="Noto Sans" w:cs="Noto Sans"/>
        </w:rPr>
      </w:pPr>
      <w:r w:rsidRPr="00635404">
        <w:rPr>
          <w:rFonts w:ascii="Noto Sans" w:hAnsi="Noto Sans" w:cs="Noto Sans"/>
        </w:rPr>
        <w:t xml:space="preserve">Ingresa a la dirección </w:t>
      </w:r>
      <w:hyperlink r:id="rId7" w:history="1">
        <w:r w:rsidRPr="005717C6">
          <w:rPr>
            <w:rStyle w:val="Hipervnculo"/>
            <w:rFonts w:ascii="Noto Sans" w:hAnsi="Noto Sans" w:cs="Noto Sans"/>
          </w:rPr>
          <w:t>http://www.imss.gob.mx/icsoe</w:t>
        </w:r>
      </w:hyperlink>
      <w:r w:rsidRPr="00635404">
        <w:rPr>
          <w:rFonts w:ascii="Noto Sans" w:hAnsi="Noto Sans" w:cs="Noto Sans"/>
        </w:rPr>
        <w:t>, del minisitio de</w:t>
      </w:r>
      <w:r>
        <w:rPr>
          <w:rFonts w:ascii="Noto Sans" w:hAnsi="Noto Sans" w:cs="Noto Sans"/>
        </w:rPr>
        <w:t>l</w:t>
      </w:r>
      <w:r w:rsidRPr="00635404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 xml:space="preserve">ICSOE </w:t>
      </w:r>
      <w:r w:rsidRPr="00635404">
        <w:rPr>
          <w:rFonts w:ascii="Noto Sans" w:hAnsi="Noto Sans" w:cs="Noto Sans"/>
        </w:rPr>
        <w:t>y selecciona la opción “Listado Público” en la parte superior de la pantalla</w:t>
      </w:r>
      <w:r>
        <w:rPr>
          <w:rFonts w:ascii="Noto Sans" w:hAnsi="Noto Sans" w:cs="Noto Sans"/>
        </w:rPr>
        <w:t>, o bien,</w:t>
      </w:r>
    </w:p>
    <w:p w14:paraId="0314F7AF" w14:textId="77777777" w:rsidR="00010940" w:rsidRPr="00635404" w:rsidRDefault="00010940" w:rsidP="00010940">
      <w:pPr>
        <w:pStyle w:val="Prrafodelista"/>
        <w:numPr>
          <w:ilvl w:val="0"/>
          <w:numId w:val="2"/>
        </w:numPr>
        <w:spacing w:line="240" w:lineRule="atLeast"/>
        <w:contextualSpacing w:val="0"/>
        <w:jc w:val="both"/>
        <w:rPr>
          <w:rFonts w:ascii="Noto Sans" w:hAnsi="Noto Sans" w:cs="Noto Sans"/>
        </w:rPr>
      </w:pPr>
      <w:r w:rsidRPr="00635404">
        <w:rPr>
          <w:rFonts w:ascii="Noto Sans" w:hAnsi="Noto Sans" w:cs="Noto Sans"/>
        </w:rPr>
        <w:t xml:space="preserve">Ingresa a la dirección electrónica </w:t>
      </w:r>
      <w:hyperlink r:id="rId8" w:history="1">
        <w:r w:rsidRPr="005717C6">
          <w:rPr>
            <w:rStyle w:val="Hipervnculo"/>
            <w:rFonts w:ascii="Noto Sans" w:hAnsi="Noto Sans" w:cs="Noto Sans"/>
          </w:rPr>
          <w:t>http://www.imss.gob.mx/</w:t>
        </w:r>
      </w:hyperlink>
      <w:r w:rsidRPr="00635404">
        <w:rPr>
          <w:rFonts w:ascii="Noto Sans" w:hAnsi="Noto Sans" w:cs="Noto Sans"/>
        </w:rPr>
        <w:t xml:space="preserve"> una vez dentro del sitio web del IMSS, selecciona la opción “IMSS Transparente”, ésta se encuentra en la parte superior de la pantalla. </w:t>
      </w:r>
    </w:p>
    <w:p w14:paraId="566E9FE2" w14:textId="77777777" w:rsidR="00010940" w:rsidRDefault="00010940" w:rsidP="00010940">
      <w:pPr>
        <w:spacing w:line="240" w:lineRule="atLeast"/>
        <w:jc w:val="both"/>
        <w:rPr>
          <w:rFonts w:ascii="Noto Sans" w:hAnsi="Noto Sans" w:cs="Noto Sans"/>
        </w:rPr>
      </w:pPr>
    </w:p>
    <w:p w14:paraId="6CF885FD" w14:textId="77777777" w:rsidR="00010940" w:rsidRPr="00532A1E" w:rsidRDefault="00010940" w:rsidP="00010940">
      <w:pPr>
        <w:spacing w:line="240" w:lineRule="atLeast"/>
        <w:jc w:val="both"/>
        <w:rPr>
          <w:rFonts w:ascii="Noto Sans" w:hAnsi="Noto Sans" w:cs="Noto Sans"/>
          <w:color w:val="000000" w:themeColor="text1"/>
        </w:rPr>
      </w:pPr>
      <w:r w:rsidRPr="00532A1E">
        <w:rPr>
          <w:rFonts w:ascii="Noto Sans" w:hAnsi="Noto Sans" w:cs="Noto Sans"/>
          <w:color w:val="000000" w:themeColor="text1"/>
        </w:rPr>
        <w:t>En ambos accesos, se muestran dos secciones:</w:t>
      </w:r>
    </w:p>
    <w:p w14:paraId="1539272F" w14:textId="77777777" w:rsidR="00010940" w:rsidRPr="00532A1E" w:rsidRDefault="00010940" w:rsidP="00010940">
      <w:pPr>
        <w:spacing w:line="240" w:lineRule="atLeast"/>
        <w:jc w:val="both"/>
        <w:rPr>
          <w:rFonts w:ascii="Noto Sans" w:hAnsi="Noto Sans" w:cs="Noto Sans"/>
          <w:color w:val="000000" w:themeColor="text1"/>
        </w:rPr>
      </w:pPr>
    </w:p>
    <w:p w14:paraId="4CA0FBAF" w14:textId="77777777" w:rsidR="00010940" w:rsidRPr="00532A1E" w:rsidRDefault="00010940" w:rsidP="00010940">
      <w:pPr>
        <w:pStyle w:val="Prrafodelista"/>
        <w:numPr>
          <w:ilvl w:val="0"/>
          <w:numId w:val="4"/>
        </w:numPr>
        <w:spacing w:line="240" w:lineRule="atLeast"/>
        <w:contextualSpacing w:val="0"/>
        <w:jc w:val="both"/>
        <w:rPr>
          <w:rFonts w:ascii="Noto Sans" w:hAnsi="Noto Sans" w:cs="Noto Sans"/>
          <w:color w:val="000000" w:themeColor="text1"/>
        </w:rPr>
      </w:pPr>
      <w:r w:rsidRPr="00532A1E">
        <w:rPr>
          <w:rFonts w:ascii="Noto Sans" w:hAnsi="Noto Sans" w:cs="Noto Sans"/>
          <w:color w:val="000000" w:themeColor="text1"/>
        </w:rPr>
        <w:lastRenderedPageBreak/>
        <w:t>“Listado Público” que contiene información referente a los contratos de Servicios u Obras Especializados reportados al IMSS y contiene datos del contratista, contratante, contrato y la informativa.</w:t>
      </w:r>
    </w:p>
    <w:p w14:paraId="56E43899" w14:textId="77777777" w:rsidR="00010940" w:rsidRPr="00532A1E" w:rsidRDefault="00010940" w:rsidP="00010940">
      <w:pPr>
        <w:pStyle w:val="Prrafodelista"/>
        <w:spacing w:line="240" w:lineRule="atLeast"/>
        <w:contextualSpacing w:val="0"/>
        <w:jc w:val="both"/>
        <w:rPr>
          <w:rFonts w:ascii="Noto Sans" w:hAnsi="Noto Sans" w:cs="Noto Sans"/>
          <w:color w:val="000000" w:themeColor="text1"/>
        </w:rPr>
      </w:pPr>
    </w:p>
    <w:p w14:paraId="0C5C1F20" w14:textId="77777777" w:rsidR="00010940" w:rsidRPr="00532A1E" w:rsidRDefault="00010940" w:rsidP="00010940">
      <w:pPr>
        <w:pStyle w:val="Prrafodelista"/>
        <w:numPr>
          <w:ilvl w:val="0"/>
          <w:numId w:val="4"/>
        </w:numPr>
        <w:spacing w:line="240" w:lineRule="atLeast"/>
        <w:contextualSpacing w:val="0"/>
        <w:jc w:val="both"/>
        <w:rPr>
          <w:rFonts w:ascii="Noto Sans" w:eastAsia="Times New Roman" w:hAnsi="Noto Sans" w:cs="Noto Sans"/>
          <w:color w:val="000000" w:themeColor="text1"/>
          <w:shd w:val="clear" w:color="auto" w:fill="FFFFFF"/>
          <w:lang w:eastAsia="es-MX"/>
        </w:rPr>
      </w:pPr>
      <w:r w:rsidRPr="00532A1E">
        <w:rPr>
          <w:rFonts w:ascii="Noto Sans" w:hAnsi="Noto Sans" w:cs="Noto Sans"/>
          <w:color w:val="000000" w:themeColor="text1"/>
        </w:rPr>
        <w:t>“Listado con Información Inconsistente” que corresponde a la información de los contratos de Servicios u Obras Especializados reportados al IMSS pero que tiene algunas</w:t>
      </w:r>
      <w:r w:rsidRPr="00532A1E">
        <w:rPr>
          <w:rFonts w:ascii="Noto Sans" w:eastAsia="Times New Roman" w:hAnsi="Noto Sans" w:cs="Noto Sans"/>
          <w:color w:val="000000" w:themeColor="text1"/>
          <w:shd w:val="clear" w:color="auto" w:fill="FFFFFF"/>
          <w:lang w:eastAsia="es-MX"/>
        </w:rPr>
        <w:t xml:space="preserve"> inconsistencias como son:</w:t>
      </w:r>
    </w:p>
    <w:p w14:paraId="4522C46C" w14:textId="77777777" w:rsidR="00010940" w:rsidRPr="00532A1E" w:rsidRDefault="00010940" w:rsidP="00010940">
      <w:pPr>
        <w:numPr>
          <w:ilvl w:val="0"/>
          <w:numId w:val="3"/>
        </w:numPr>
        <w:shd w:val="clear" w:color="auto" w:fill="FFFFFF"/>
        <w:spacing w:line="240" w:lineRule="atLeast"/>
        <w:ind w:left="709"/>
        <w:rPr>
          <w:rFonts w:ascii="Noto Sans" w:eastAsia="Times New Roman" w:hAnsi="Noto Sans" w:cs="Noto Sans"/>
          <w:color w:val="000000" w:themeColor="text1"/>
          <w:lang w:eastAsia="es-MX"/>
        </w:rPr>
      </w:pPr>
      <w:r w:rsidRPr="00532A1E">
        <w:rPr>
          <w:rFonts w:ascii="Noto Sans" w:eastAsia="Times New Roman" w:hAnsi="Noto Sans" w:cs="Noto Sans"/>
          <w:color w:val="000000" w:themeColor="text1"/>
          <w:lang w:eastAsia="es-MX"/>
        </w:rPr>
        <w:t>Contratista y contratante son el mismo.</w:t>
      </w:r>
    </w:p>
    <w:p w14:paraId="61D64D1B" w14:textId="77777777" w:rsidR="00010940" w:rsidRPr="00532A1E" w:rsidRDefault="00010940" w:rsidP="00010940">
      <w:pPr>
        <w:numPr>
          <w:ilvl w:val="0"/>
          <w:numId w:val="3"/>
        </w:numPr>
        <w:shd w:val="clear" w:color="auto" w:fill="FFFFFF"/>
        <w:spacing w:line="240" w:lineRule="atLeast"/>
        <w:ind w:left="709"/>
        <w:rPr>
          <w:rFonts w:ascii="Noto Sans" w:eastAsia="Times New Roman" w:hAnsi="Noto Sans" w:cs="Noto Sans"/>
          <w:color w:val="000000" w:themeColor="text1"/>
          <w:lang w:eastAsia="es-MX"/>
        </w:rPr>
      </w:pPr>
      <w:r w:rsidRPr="00532A1E">
        <w:rPr>
          <w:rFonts w:ascii="Noto Sans" w:eastAsia="Times New Roman" w:hAnsi="Noto Sans" w:cs="Noto Sans"/>
          <w:color w:val="000000" w:themeColor="text1"/>
          <w:lang w:eastAsia="es-MX"/>
        </w:rPr>
        <w:t>Informativas de los tipos Normal y Corrección sin descripción del servicio u obra especializada.</w:t>
      </w:r>
    </w:p>
    <w:p w14:paraId="7558F7E5" w14:textId="77777777" w:rsidR="00010940" w:rsidRPr="00532A1E" w:rsidRDefault="00010940" w:rsidP="00010940">
      <w:pPr>
        <w:numPr>
          <w:ilvl w:val="0"/>
          <w:numId w:val="3"/>
        </w:numPr>
        <w:shd w:val="clear" w:color="auto" w:fill="FFFFFF"/>
        <w:spacing w:line="240" w:lineRule="atLeast"/>
        <w:ind w:left="709"/>
        <w:rPr>
          <w:rFonts w:ascii="Noto Sans" w:eastAsia="Times New Roman" w:hAnsi="Noto Sans" w:cs="Noto Sans"/>
          <w:color w:val="000000" w:themeColor="text1"/>
          <w:lang w:eastAsia="es-MX"/>
        </w:rPr>
      </w:pPr>
      <w:r w:rsidRPr="00532A1E">
        <w:rPr>
          <w:rFonts w:ascii="Noto Sans" w:eastAsia="Times New Roman" w:hAnsi="Noto Sans" w:cs="Noto Sans"/>
          <w:color w:val="000000" w:themeColor="text1"/>
          <w:lang w:eastAsia="es-MX"/>
        </w:rPr>
        <w:t>Sin fecha de inicio del servicio o fecha inconsistente.</w:t>
      </w:r>
    </w:p>
    <w:p w14:paraId="712B0C64" w14:textId="1F041883" w:rsidR="00010940" w:rsidRPr="00532A1E" w:rsidRDefault="00010940" w:rsidP="00010940">
      <w:pPr>
        <w:numPr>
          <w:ilvl w:val="0"/>
          <w:numId w:val="3"/>
        </w:numPr>
        <w:shd w:val="clear" w:color="auto" w:fill="FFFFFF"/>
        <w:spacing w:line="240" w:lineRule="atLeast"/>
        <w:ind w:left="709"/>
        <w:rPr>
          <w:rFonts w:ascii="Noto Sans" w:eastAsia="Times New Roman" w:hAnsi="Noto Sans" w:cs="Noto Sans"/>
          <w:color w:val="000000" w:themeColor="text1"/>
          <w:lang w:eastAsia="es-MX"/>
        </w:rPr>
      </w:pPr>
      <w:r w:rsidRPr="00532A1E">
        <w:rPr>
          <w:rFonts w:ascii="Noto Sans" w:eastAsia="Times New Roman" w:hAnsi="Noto Sans" w:cs="Noto Sans"/>
          <w:color w:val="000000" w:themeColor="text1"/>
          <w:lang w:eastAsia="es-MX"/>
        </w:rPr>
        <w:t>Contratos sin</w:t>
      </w:r>
      <w:r w:rsidR="00A220BF" w:rsidRPr="00532A1E">
        <w:rPr>
          <w:rFonts w:ascii="Noto Sans" w:eastAsia="Times New Roman" w:hAnsi="Noto Sans" w:cs="Noto Sans"/>
          <w:color w:val="000000" w:themeColor="text1"/>
          <w:lang w:eastAsia="es-MX"/>
        </w:rPr>
        <w:t xml:space="preserve"> personas</w:t>
      </w:r>
      <w:r w:rsidRPr="00532A1E">
        <w:rPr>
          <w:rFonts w:ascii="Noto Sans" w:eastAsia="Times New Roman" w:hAnsi="Noto Sans" w:cs="Noto Sans"/>
          <w:color w:val="000000" w:themeColor="text1"/>
          <w:lang w:eastAsia="es-MX"/>
        </w:rPr>
        <w:t xml:space="preserve"> trabajador</w:t>
      </w:r>
      <w:r w:rsidR="00A220BF" w:rsidRPr="00532A1E">
        <w:rPr>
          <w:rFonts w:ascii="Noto Sans" w:eastAsia="Times New Roman" w:hAnsi="Noto Sans" w:cs="Noto Sans"/>
          <w:color w:val="000000" w:themeColor="text1"/>
          <w:lang w:eastAsia="es-MX"/>
        </w:rPr>
        <w:t>a</w:t>
      </w:r>
      <w:r w:rsidRPr="00532A1E">
        <w:rPr>
          <w:rFonts w:ascii="Noto Sans" w:eastAsia="Times New Roman" w:hAnsi="Noto Sans" w:cs="Noto Sans"/>
          <w:color w:val="000000" w:themeColor="text1"/>
          <w:lang w:eastAsia="es-MX"/>
        </w:rPr>
        <w:t>s.</w:t>
      </w:r>
    </w:p>
    <w:p w14:paraId="1B875071" w14:textId="77777777" w:rsidR="00010940" w:rsidRPr="00532A1E" w:rsidRDefault="00010940" w:rsidP="00010940">
      <w:pPr>
        <w:numPr>
          <w:ilvl w:val="0"/>
          <w:numId w:val="3"/>
        </w:numPr>
        <w:shd w:val="clear" w:color="auto" w:fill="FFFFFF"/>
        <w:spacing w:line="240" w:lineRule="atLeast"/>
        <w:ind w:left="709"/>
        <w:rPr>
          <w:rFonts w:ascii="Noto Sans" w:eastAsia="Times New Roman" w:hAnsi="Noto Sans" w:cs="Noto Sans"/>
          <w:color w:val="000000" w:themeColor="text1"/>
          <w:lang w:eastAsia="es-MX"/>
        </w:rPr>
      </w:pPr>
      <w:r w:rsidRPr="00532A1E">
        <w:rPr>
          <w:rFonts w:ascii="Noto Sans" w:eastAsia="Times New Roman" w:hAnsi="Noto Sans" w:cs="Noto Sans"/>
          <w:color w:val="000000" w:themeColor="text1"/>
          <w:lang w:eastAsia="es-MX"/>
        </w:rPr>
        <w:t>Informativas presentadas sin información de contratos.</w:t>
      </w:r>
    </w:p>
    <w:p w14:paraId="3125B91F" w14:textId="77777777" w:rsidR="00010940" w:rsidRPr="00532A1E" w:rsidRDefault="00010940" w:rsidP="00010940">
      <w:pPr>
        <w:numPr>
          <w:ilvl w:val="0"/>
          <w:numId w:val="3"/>
        </w:numPr>
        <w:shd w:val="clear" w:color="auto" w:fill="FFFFFF"/>
        <w:spacing w:line="240" w:lineRule="atLeast"/>
        <w:ind w:left="709"/>
        <w:rPr>
          <w:rFonts w:ascii="Noto Sans" w:eastAsia="Times New Roman" w:hAnsi="Noto Sans" w:cs="Noto Sans"/>
          <w:color w:val="000000" w:themeColor="text1"/>
          <w:lang w:eastAsia="es-MX"/>
        </w:rPr>
      </w:pPr>
      <w:r w:rsidRPr="00532A1E">
        <w:rPr>
          <w:rFonts w:ascii="Noto Sans" w:eastAsia="Times New Roman" w:hAnsi="Noto Sans" w:cs="Noto Sans"/>
          <w:color w:val="000000" w:themeColor="text1"/>
          <w:lang w:eastAsia="es-MX"/>
        </w:rPr>
        <w:t>Informativas múltiples (más de una informativa por periodo).</w:t>
      </w:r>
    </w:p>
    <w:p w14:paraId="0F3BAB56" w14:textId="77777777" w:rsidR="00010940" w:rsidRPr="00532A1E" w:rsidRDefault="00010940" w:rsidP="00010940">
      <w:pPr>
        <w:numPr>
          <w:ilvl w:val="0"/>
          <w:numId w:val="3"/>
        </w:numPr>
        <w:shd w:val="clear" w:color="auto" w:fill="FFFFFF"/>
        <w:spacing w:line="240" w:lineRule="atLeast"/>
        <w:ind w:left="709"/>
        <w:rPr>
          <w:rFonts w:ascii="Noto Sans" w:eastAsia="Times New Roman" w:hAnsi="Noto Sans" w:cs="Noto Sans"/>
          <w:color w:val="000000" w:themeColor="text1"/>
          <w:lang w:eastAsia="es-MX"/>
        </w:rPr>
      </w:pPr>
      <w:r w:rsidRPr="00532A1E">
        <w:rPr>
          <w:rFonts w:ascii="Noto Sans" w:eastAsia="Times New Roman" w:hAnsi="Noto Sans" w:cs="Noto Sans"/>
          <w:color w:val="000000" w:themeColor="text1"/>
          <w:lang w:eastAsia="es-MX"/>
        </w:rPr>
        <w:t>Número de contratos presentados diferente al número de contratos en la informativa.</w:t>
      </w:r>
    </w:p>
    <w:p w14:paraId="655EB28A" w14:textId="77777777" w:rsidR="00010940" w:rsidRPr="00532A1E" w:rsidRDefault="00010940" w:rsidP="00010940">
      <w:pPr>
        <w:spacing w:line="240" w:lineRule="atLeast"/>
        <w:jc w:val="both"/>
        <w:rPr>
          <w:rFonts w:ascii="Noto Sans" w:hAnsi="Noto Sans" w:cs="Noto Sans"/>
          <w:color w:val="000000" w:themeColor="text1"/>
        </w:rPr>
      </w:pPr>
    </w:p>
    <w:p w14:paraId="5AE3C214" w14:textId="3513E27E" w:rsidR="00010940" w:rsidRPr="00827ACF" w:rsidRDefault="00010940" w:rsidP="00010940">
      <w:pPr>
        <w:spacing w:line="240" w:lineRule="atLeast"/>
        <w:jc w:val="both"/>
        <w:rPr>
          <w:rFonts w:ascii="Noto Sans" w:hAnsi="Noto Sans" w:cs="Noto Sans"/>
        </w:rPr>
      </w:pPr>
      <w:r w:rsidRPr="00532A1E">
        <w:rPr>
          <w:rFonts w:ascii="Noto Sans" w:hAnsi="Noto Sans" w:cs="Noto Sans"/>
          <w:color w:val="000000" w:themeColor="text1"/>
        </w:rPr>
        <w:t xml:space="preserve">Para mayor información o atención de dudas, comunicarse al Centro de Contacto Telefónico al 800-623-2323, opción 5 y </w:t>
      </w:r>
      <w:r w:rsidR="00A220BF" w:rsidRPr="00532A1E">
        <w:rPr>
          <w:rFonts w:ascii="Noto Sans" w:hAnsi="Noto Sans" w:cs="Noto Sans"/>
          <w:color w:val="000000" w:themeColor="text1"/>
        </w:rPr>
        <w:t>luego</w:t>
      </w:r>
      <w:r w:rsidRPr="00532A1E">
        <w:rPr>
          <w:rFonts w:ascii="Noto Sans" w:hAnsi="Noto Sans" w:cs="Noto Sans"/>
          <w:color w:val="000000" w:themeColor="text1"/>
        </w:rPr>
        <w:t xml:space="preserve"> 6, o registrar un planteamiento a través del Buzón IMSS, en la dirección electrónica</w:t>
      </w:r>
      <w:r>
        <w:rPr>
          <w:rFonts w:ascii="Noto Sans" w:hAnsi="Noto Sans" w:cs="Noto Sans"/>
        </w:rPr>
        <w:t xml:space="preserve"> </w:t>
      </w:r>
      <w:hyperlink r:id="rId9" w:history="1">
        <w:r w:rsidRPr="005717C6">
          <w:rPr>
            <w:rStyle w:val="Hipervnculo"/>
            <w:rFonts w:ascii="Noto Sans" w:hAnsi="Noto Sans" w:cs="Noto Sans"/>
          </w:rPr>
          <w:t>http://www.imss.gob.mx/buzonimss</w:t>
        </w:r>
      </w:hyperlink>
      <w:r w:rsidRPr="00827ACF">
        <w:rPr>
          <w:rFonts w:ascii="Noto Sans" w:hAnsi="Noto Sans" w:cs="Noto Sans"/>
        </w:rPr>
        <w:t xml:space="preserve"> en el apartado de </w:t>
      </w:r>
      <w:r>
        <w:rPr>
          <w:rFonts w:ascii="Noto Sans" w:hAnsi="Noto Sans" w:cs="Noto Sans"/>
        </w:rPr>
        <w:t>“</w:t>
      </w:r>
      <w:r w:rsidRPr="00827ACF">
        <w:rPr>
          <w:rFonts w:ascii="Noto Sans" w:hAnsi="Noto Sans" w:cs="Noto Sans"/>
        </w:rPr>
        <w:t>Promociones Electrónicas</w:t>
      </w:r>
      <w:r>
        <w:rPr>
          <w:rFonts w:ascii="Noto Sans" w:hAnsi="Noto Sans" w:cs="Noto Sans"/>
        </w:rPr>
        <w:t>”</w:t>
      </w:r>
      <w:r w:rsidRPr="00827ACF">
        <w:rPr>
          <w:rFonts w:ascii="Noto Sans" w:hAnsi="Noto Sans" w:cs="Noto Sans"/>
        </w:rPr>
        <w:t>.</w:t>
      </w:r>
    </w:p>
    <w:p w14:paraId="6E996862" w14:textId="77777777" w:rsidR="00010940" w:rsidRPr="00635404" w:rsidRDefault="00010940" w:rsidP="00010940">
      <w:pPr>
        <w:spacing w:line="240" w:lineRule="atLeast"/>
        <w:jc w:val="both"/>
        <w:rPr>
          <w:rFonts w:ascii="Noto Sans" w:hAnsi="Noto Sans" w:cs="Noto Sans"/>
        </w:rPr>
      </w:pPr>
    </w:p>
    <w:p w14:paraId="3D452DAE" w14:textId="77777777" w:rsidR="00010940" w:rsidRPr="004E0D31" w:rsidRDefault="00010940" w:rsidP="00010940">
      <w:pPr>
        <w:spacing w:line="240" w:lineRule="atLeast"/>
        <w:ind w:right="49"/>
        <w:jc w:val="center"/>
        <w:rPr>
          <w:rFonts w:ascii="Noto Sans" w:hAnsi="Noto Sans" w:cs="Noto Sans"/>
          <w:sz w:val="20"/>
          <w:szCs w:val="20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22F5EE52" w14:textId="77777777" w:rsidR="00D82B26" w:rsidRDefault="00D82B26" w:rsidP="00010940">
      <w:pPr>
        <w:spacing w:line="240" w:lineRule="atLeast"/>
      </w:pPr>
    </w:p>
    <w:sectPr w:rsidR="00D82B26" w:rsidSect="00010940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778A" w14:textId="77777777" w:rsidR="00FA0B0C" w:rsidRDefault="00FA0B0C">
      <w:r>
        <w:separator/>
      </w:r>
    </w:p>
  </w:endnote>
  <w:endnote w:type="continuationSeparator" w:id="0">
    <w:p w14:paraId="0656653E" w14:textId="77777777" w:rsidR="00FA0B0C" w:rsidRDefault="00FA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308E" w14:textId="77777777" w:rsidR="00FA0B0C" w:rsidRDefault="00FA0B0C">
      <w:r>
        <w:separator/>
      </w:r>
    </w:p>
  </w:footnote>
  <w:footnote w:type="continuationSeparator" w:id="0">
    <w:p w14:paraId="637D17B0" w14:textId="77777777" w:rsidR="00FA0B0C" w:rsidRDefault="00FA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2AB6" w14:textId="77777777" w:rsidR="00010940" w:rsidRDefault="0001094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20A4431" wp14:editId="7EE6C574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102"/>
    <w:multiLevelType w:val="hybridMultilevel"/>
    <w:tmpl w:val="041ABA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B1A4F"/>
    <w:multiLevelType w:val="hybridMultilevel"/>
    <w:tmpl w:val="A8F8C07A"/>
    <w:lvl w:ilvl="0" w:tplc="119C13BE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D0E3E"/>
    <w:multiLevelType w:val="hybridMultilevel"/>
    <w:tmpl w:val="AA400188"/>
    <w:lvl w:ilvl="0" w:tplc="B0C2937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D2E85"/>
    <w:multiLevelType w:val="multilevel"/>
    <w:tmpl w:val="D66EDDFE"/>
    <w:lvl w:ilvl="0">
      <w:start w:val="1"/>
      <w:numFmt w:val="lowerLetter"/>
      <w:lvlText w:val="%1."/>
      <w:lvlJc w:val="left"/>
      <w:pPr>
        <w:tabs>
          <w:tab w:val="num" w:pos="1079"/>
        </w:tabs>
        <w:ind w:left="107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19"/>
        </w:tabs>
        <w:ind w:left="2519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39"/>
        </w:tabs>
        <w:ind w:left="323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79"/>
        </w:tabs>
        <w:ind w:left="4679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99"/>
        </w:tabs>
        <w:ind w:left="539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39"/>
        </w:tabs>
        <w:ind w:left="6839" w:hanging="360"/>
      </w:pPr>
    </w:lvl>
  </w:abstractNum>
  <w:num w:numId="1" w16cid:durableId="1005981091">
    <w:abstractNumId w:val="2"/>
  </w:num>
  <w:num w:numId="2" w16cid:durableId="1458916237">
    <w:abstractNumId w:val="0"/>
  </w:num>
  <w:num w:numId="3" w16cid:durableId="121076092">
    <w:abstractNumId w:val="3"/>
  </w:num>
  <w:num w:numId="4" w16cid:durableId="116524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40"/>
    <w:rsid w:val="00010940"/>
    <w:rsid w:val="000423DD"/>
    <w:rsid w:val="0024020C"/>
    <w:rsid w:val="00532A1E"/>
    <w:rsid w:val="006C1F7B"/>
    <w:rsid w:val="007A3A00"/>
    <w:rsid w:val="007B064E"/>
    <w:rsid w:val="007D3A50"/>
    <w:rsid w:val="00811416"/>
    <w:rsid w:val="00965A88"/>
    <w:rsid w:val="00A220BF"/>
    <w:rsid w:val="00B50958"/>
    <w:rsid w:val="00C27EED"/>
    <w:rsid w:val="00D8287E"/>
    <w:rsid w:val="00D82B26"/>
    <w:rsid w:val="00F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4A85"/>
  <w15:chartTrackingRefBased/>
  <w15:docId w15:val="{2066B748-6F84-42EE-BE66-5E233D6D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4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1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0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0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0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0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0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0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0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0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0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09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09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09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09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09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09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0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0940"/>
    <w:rPr>
      <w:i/>
      <w:iCs/>
      <w:color w:val="404040" w:themeColor="text1" w:themeTint="BF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"/>
    <w:basedOn w:val="Normal"/>
    <w:link w:val="PrrafodelistaCar"/>
    <w:uiPriority w:val="34"/>
    <w:qFormat/>
    <w:rsid w:val="000109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09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09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094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09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940"/>
    <w:rPr>
      <w:rFonts w:eastAsiaTheme="minorEastAsia"/>
      <w:kern w:val="0"/>
      <w:sz w:val="24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10940"/>
    <w:rPr>
      <w:color w:val="467886" w:themeColor="hyperlink"/>
      <w:u w:val="single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"/>
    <w:link w:val="Prrafodelista"/>
    <w:uiPriority w:val="34"/>
    <w:qFormat/>
    <w:locked/>
    <w:rsid w:val="00010940"/>
    <w:rPr>
      <w:rFonts w:eastAsiaTheme="minorEastAsia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s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ss.gob.mx/icso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mss.gob.mx/buzonim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R. Alemán</dc:creator>
  <cp:keywords/>
  <dc:description/>
  <cp:lastModifiedBy>Luz Maria Rico Jardon</cp:lastModifiedBy>
  <cp:revision>2</cp:revision>
  <dcterms:created xsi:type="dcterms:W3CDTF">2025-06-16T15:05:00Z</dcterms:created>
  <dcterms:modified xsi:type="dcterms:W3CDTF">2025-06-16T15:05:00Z</dcterms:modified>
</cp:coreProperties>
</file>