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7B12" w14:textId="77777777" w:rsidR="0047061E" w:rsidRPr="0047061E" w:rsidRDefault="0047061E" w:rsidP="0047061E">
      <w:pPr>
        <w:spacing w:line="240" w:lineRule="atLeast"/>
        <w:jc w:val="right"/>
        <w:rPr>
          <w:rFonts w:ascii="Montserrat" w:hAnsi="Montserrat" w:cs="Arial"/>
          <w:b/>
          <w:color w:val="134E39"/>
          <w:lang w:val="es-MX"/>
        </w:rPr>
      </w:pPr>
      <w:r w:rsidRPr="0047061E">
        <w:rPr>
          <w:rFonts w:ascii="Montserrat" w:hAnsi="Montserrat" w:cs="Arial"/>
          <w:b/>
          <w:color w:val="134E39"/>
          <w:lang w:val="es-MX"/>
        </w:rPr>
        <w:t>BOLETÍN DE PRENSA</w:t>
      </w:r>
    </w:p>
    <w:p w14:paraId="139D174E" w14:textId="7F489263" w:rsidR="00CF717C" w:rsidRPr="00E950EF" w:rsidRDefault="00CF717C" w:rsidP="00774523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Ciudad de México, </w:t>
      </w:r>
      <w:r w:rsidR="0035304A"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>martes 14</w:t>
      </w:r>
      <w:r w:rsidR="006B1416"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 febrero</w:t>
      </w:r>
      <w:r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 2023</w:t>
      </w:r>
    </w:p>
    <w:p w14:paraId="0C93BCDE" w14:textId="60A0D568" w:rsidR="00CF717C" w:rsidRPr="00E950EF" w:rsidRDefault="00CF717C" w:rsidP="00774523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774523"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>0</w:t>
      </w:r>
      <w:r w:rsidR="0035304A"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>73</w:t>
      </w:r>
      <w:r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>/2023</w:t>
      </w:r>
    </w:p>
    <w:p w14:paraId="1AC14699" w14:textId="77777777" w:rsidR="00CF717C" w:rsidRPr="00E950EF" w:rsidRDefault="00CF717C" w:rsidP="00774523">
      <w:pPr>
        <w:spacing w:line="240" w:lineRule="atLeast"/>
        <w:jc w:val="both"/>
        <w:rPr>
          <w:rFonts w:ascii="Montserrat" w:eastAsia="Batang" w:hAnsi="Montserrat" w:cs="Arial"/>
          <w:b/>
          <w:color w:val="000000" w:themeColor="text1"/>
          <w:sz w:val="28"/>
          <w:szCs w:val="28"/>
          <w:lang w:val="es-MX"/>
        </w:rPr>
      </w:pPr>
    </w:p>
    <w:p w14:paraId="36E63325" w14:textId="2BAB0917" w:rsidR="00B247C9" w:rsidRPr="00E950EF" w:rsidRDefault="00413FBA" w:rsidP="00774523">
      <w:pPr>
        <w:spacing w:line="240" w:lineRule="atLeast"/>
        <w:ind w:right="51"/>
        <w:jc w:val="center"/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36"/>
          <w:lang w:val="es-MX" w:eastAsia="es-MX"/>
        </w:rPr>
      </w:pP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36"/>
          <w:lang w:val="es-MX" w:eastAsia="es-MX"/>
        </w:rPr>
        <w:t>Realiza IMSS 18</w:t>
      </w:r>
      <w:r w:rsidR="00C66C31" w:rsidRPr="00E950EF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36"/>
          <w:lang w:val="es-MX" w:eastAsia="es-MX"/>
        </w:rPr>
        <w:t>8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36"/>
          <w:lang w:val="es-MX" w:eastAsia="es-MX"/>
        </w:rPr>
        <w:t xml:space="preserve"> mil </w:t>
      </w:r>
      <w:r w:rsidR="00C66C31" w:rsidRPr="00E950EF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36"/>
          <w:lang w:val="es-MX" w:eastAsia="es-MX"/>
        </w:rPr>
        <w:t>675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36"/>
          <w:lang w:val="es-MX" w:eastAsia="es-MX"/>
        </w:rPr>
        <w:t xml:space="preserve"> acciones en 3ª Jornada Extraordinaria de Continuidad de Servicios de Salud</w:t>
      </w:r>
    </w:p>
    <w:p w14:paraId="11797FDD" w14:textId="77777777" w:rsidR="00CA1BF7" w:rsidRPr="00E950EF" w:rsidRDefault="00CA1BF7" w:rsidP="00774523">
      <w:pPr>
        <w:spacing w:line="240" w:lineRule="atLeast"/>
        <w:ind w:left="360"/>
        <w:rPr>
          <w:rFonts w:ascii="Montserrat" w:eastAsia="Times New Roman" w:hAnsi="Montserrat" w:cs="Times New Roman"/>
          <w:color w:val="000000" w:themeColor="text1"/>
          <w:lang w:val="es-MX" w:eastAsia="es-MX"/>
        </w:rPr>
      </w:pPr>
    </w:p>
    <w:p w14:paraId="3145BEB5" w14:textId="6A1E89C7" w:rsidR="00774523" w:rsidRPr="00E950EF" w:rsidRDefault="00413FBA" w:rsidP="00774523">
      <w:pPr>
        <w:pStyle w:val="Prrafodelista"/>
        <w:numPr>
          <w:ilvl w:val="0"/>
          <w:numId w:val="14"/>
        </w:numPr>
        <w:spacing w:line="240" w:lineRule="atLeast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</w:pP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Del 10 al 12 de febrero se efectuaron cirugías, trasplantes, consultas de Especialidad y de Medicina Familiar, detección de enfermedades, y Estudios Auxiliares de Diagnóstico y Tratamiento en todo el país.</w:t>
      </w:r>
    </w:p>
    <w:p w14:paraId="799774CD" w14:textId="1AB1EBBB" w:rsidR="008F3F52" w:rsidRPr="00E950EF" w:rsidRDefault="008F3F52" w:rsidP="008F3F5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</w:pP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Destacaron 34 trasplantes: 18 de riñón, nueve de córnea, cuatro de células hematopoyéticas, dos </w:t>
      </w:r>
      <w:r w:rsidR="008D7379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de 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corazón y uno de hígado, así como 22 donaciones cadavéricas.</w:t>
      </w:r>
    </w:p>
    <w:p w14:paraId="450AB21F" w14:textId="587FAB32" w:rsidR="00413FBA" w:rsidRPr="00E950EF" w:rsidRDefault="00413FBA" w:rsidP="00084A3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</w:pP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Se logró rebasar en 1</w:t>
      </w:r>
      <w:r w:rsidR="008C37AA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2</w:t>
      </w:r>
      <w:r w:rsidR="00C66C31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2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.</w:t>
      </w:r>
      <w:r w:rsidR="00C66C31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2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por ciento la meta establecida por los 35 Órganos de Operación Administrativa Desconcentrada y 25 Unidades Médicas de Alta Especialidad.</w:t>
      </w:r>
    </w:p>
    <w:p w14:paraId="71BA6DE0" w14:textId="1D327D16" w:rsidR="008B6FCE" w:rsidRPr="00E950EF" w:rsidRDefault="004204ED" w:rsidP="00084A3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</w:pP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La estrategia Nacional de R</w:t>
      </w:r>
      <w:r w:rsidR="009E040F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ecuperación de 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Servicios i</w:t>
      </w:r>
      <w:r w:rsidR="009E040F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mplementada en abril del 2021 por el </w:t>
      </w:r>
      <w:r w:rsidR="0035304A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d</w:t>
      </w:r>
      <w:r w:rsidR="009E040F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irector </w:t>
      </w:r>
      <w:r w:rsidR="0035304A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g</w:t>
      </w:r>
      <w:r w:rsidR="009E040F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eneral</w:t>
      </w:r>
      <w:r w:rsidR="0035304A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,</w:t>
      </w:r>
      <w:r w:rsidR="009E040F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Zoé Robled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o</w:t>
      </w:r>
      <w:r w:rsidR="0035304A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, 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coordinad</w:t>
      </w:r>
      <w:r w:rsidR="0035304A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a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y liderada por la</w:t>
      </w:r>
      <w:r w:rsidR="0035304A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doctora </w:t>
      </w:r>
      <w:proofErr w:type="spellStart"/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Célida</w:t>
      </w:r>
      <w:proofErr w:type="spellEnd"/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Duque Molina</w:t>
      </w:r>
      <w:r w:rsidR="0035304A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, </w:t>
      </w:r>
      <w:r w:rsidR="00CC5C17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ha permitido que se tengan los presentes resultados.</w:t>
      </w:r>
    </w:p>
    <w:p w14:paraId="5D7E8631" w14:textId="77777777" w:rsidR="00BC641F" w:rsidRPr="00E950EF" w:rsidRDefault="00BC641F" w:rsidP="00084A30">
      <w:pPr>
        <w:jc w:val="both"/>
        <w:rPr>
          <w:rFonts w:ascii="Montserrat" w:eastAsia="Times New Roman" w:hAnsi="Montserrat" w:cs="Times New Roman"/>
          <w:color w:val="000000" w:themeColor="text1"/>
          <w:sz w:val="22"/>
          <w:szCs w:val="20"/>
          <w:lang w:val="es-MX" w:eastAsia="es-MX"/>
        </w:rPr>
      </w:pPr>
    </w:p>
    <w:p w14:paraId="389B3037" w14:textId="61A600B2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El Instituto Mexicano del Seguro Social (IMSS) realizó 188 mil 675 acciones durante la 3ª Jornada Extraordinaria de Continuidad de Servicios de Salud, que consistieron en </w:t>
      </w:r>
      <w:r w:rsidR="00B7654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3</w:t>
      </w: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mil </w:t>
      </w:r>
      <w:r w:rsidR="00B7654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318</w:t>
      </w: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cirugías, 2</w:t>
      </w:r>
      <w:r w:rsidR="00B7654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9</w:t>
      </w: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mil </w:t>
      </w:r>
      <w:r w:rsidR="00B7654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229</w:t>
      </w: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consultas de especialidad y 88 mil 876 de Medicina Familiar; 62 mil 391 detecciones de enfermedades prioritarias, </w:t>
      </w:r>
      <w:r w:rsidR="00B7654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4 mil 827</w:t>
      </w: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Estudios Auxiliares de Diagnóstico y Tratamiento y</w:t>
      </w:r>
      <w:r w:rsidR="00B7654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,</w:t>
      </w: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34 trasplantes.</w:t>
      </w:r>
    </w:p>
    <w:p w14:paraId="34958F3D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68A4E828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Del 10 al 12 de febrero, se llevaron a cabo dichas atenciones que permitieron rebasar en 122.2 por ciento la meta establecida por los 35 Órganos de Operación Administrativa Desconcentrada (OOAD) y 25 Unidades Médicas de Alta Especialidad (UMAE) del país, y que permiten al Instituto favorecer la oportunidad y el acceso a sus servicios de salud en los tres niveles de atención.</w:t>
      </w:r>
    </w:p>
    <w:p w14:paraId="196B2DEF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3FCDF6C7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Destacó </w:t>
      </w:r>
      <w:proofErr w:type="gramStart"/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que</w:t>
      </w:r>
      <w:proofErr w:type="gramEnd"/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en estos tres días de actividad, se lograron efectuar 34 trasplantes, de los cuales 18 fueron de riñón, nueve de córnea, cuatro de células hematopoyéticas, dos de corazón y uno de hígado.</w:t>
      </w:r>
    </w:p>
    <w:p w14:paraId="5B80F8AC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7DD0CA27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También se concretaron 22 donaciones cadavéricas, de las cuales cinco fueron multiorgánicas en la UMAE Hospital de Especialidades de Mérida, Yucatán; en el Hospital General Regional (HGR) No. 1 de Querétaro; en el HGR No. 66 de Ciudad Juárez, Chihuahua; el Hospital General de Zona (HGZ) No. 3 de Mazatlán, Sinaloa, y el HGZ No. 2 de Saltillo, Coahuila; además de 17 donaciones de tejidos.</w:t>
      </w:r>
    </w:p>
    <w:p w14:paraId="4DE83B0B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612DFF05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En estas intervenciones se cuenta con protocolos de bioseguridad sanitaria para reducir la cadena de contagio por COVID-19, que incluye la toma de PCR en los pacientes receptores y donadores.</w:t>
      </w:r>
    </w:p>
    <w:p w14:paraId="3C9D3D7B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774C6947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En la OOAD Chiapas se otorgaron 157 consultas de Especialidades, 45 de Traumatología y Ortopedia, 60 de Medicina Física y Rehabilitación, 30 de Neurología, 17 de Nefrología, y cinco de Neumología; también como parte de la jornada se otorgaron de 456 consultas de Medicina Familiar, 139 exploraciones para detectar cáncer de mama y 73 para cáncer cérvico uterino; 36 mastografías, 291 detecciones de hipertensión arterial y 165 de diabetes mellitus.</w:t>
      </w:r>
    </w:p>
    <w:p w14:paraId="496FC194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5F621D1C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En Jalisco, se realizaron 509 procedimientos quirúrgicos, de los cuales 380 fueron realizados como acciones extraordinarias para la recuperación de servicios; las especialidades quirúrgicas que más se realizaron fueron en Oftalmología, Traumatología, Cirugía General y Otorrinolaringología; en la Consulta Externa de Especialidades se brindaron 3 mil 218 consultas; y en el Primer Nivel, en 74 Unidades de Medicina Familiar se otorgaron 8 mil 429 acciones de prevención, diagnóstico y de consulta externa, de las cuales 6 mil 061 se dieron en el marco de la jornada extraordinaria.</w:t>
      </w:r>
    </w:p>
    <w:p w14:paraId="5203ACEA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720D5C81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En la Unidad Médica de Alta Especialidad, Hospital de Especialidades No. 25 de Monterrey, se dieron 79 consultas de Oftalmología, siete de Neurología Pediátrica, 12 de Oncología, 12 de </w:t>
      </w:r>
      <w:proofErr w:type="spellStart"/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Radioncología</w:t>
      </w:r>
      <w:proofErr w:type="spellEnd"/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, 19 cirugías oftalmológica y 20 procedimientos quirúrgicos, además de la realización de un trasplante hepático, un trasplante renal pediátrico y un trasplante renal en adulto.</w:t>
      </w:r>
    </w:p>
    <w:p w14:paraId="05A2B65B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2E927BF0" w14:textId="0ED35CD2" w:rsidR="00184D3A" w:rsidRPr="00E950EF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En la UMAE Hospital de Especialidades del Centro Médico Nacional del Bajío, en Guanajuato, se efectuaron cirugías de Ortopedia, Oftalmología, Tórax, Neurocirugía, </w:t>
      </w:r>
      <w:proofErr w:type="spellStart"/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Oncocirugía</w:t>
      </w:r>
      <w:proofErr w:type="spellEnd"/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, Cirugía General, Urología, Otorrinolaringología y Maxilofacial; además, se atendieron pacientes de Hemodinamia, que incluyó a personas que ingresaron a Código infarto, así como procedimientos de angiología endovascular, colonoscopias y </w:t>
      </w:r>
      <w:proofErr w:type="spellStart"/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colangiopancreatografías</w:t>
      </w:r>
      <w:proofErr w:type="spellEnd"/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</w:t>
      </w:r>
      <w:proofErr w:type="spellStart"/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retrógadas</w:t>
      </w:r>
      <w:proofErr w:type="spellEnd"/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endoscópicas.</w:t>
      </w:r>
    </w:p>
    <w:p w14:paraId="1905F9ED" w14:textId="77777777" w:rsidR="00631D68" w:rsidRPr="00E950EF" w:rsidRDefault="00631D68" w:rsidP="00774523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2"/>
          <w:szCs w:val="22"/>
          <w:lang w:val="es-MX" w:eastAsia="es-MX"/>
        </w:rPr>
      </w:pPr>
    </w:p>
    <w:p w14:paraId="3FA1C1F0" w14:textId="0EBD6EAF" w:rsidR="00B247C9" w:rsidRDefault="00B247C9" w:rsidP="00774523">
      <w:pPr>
        <w:spacing w:line="240" w:lineRule="atLeast"/>
        <w:ind w:right="51"/>
        <w:jc w:val="center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  <w:r w:rsidRPr="00E950EF"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  <w:t>---o0o---</w:t>
      </w:r>
    </w:p>
    <w:p w14:paraId="144BD710" w14:textId="3C865016" w:rsidR="00362D17" w:rsidRDefault="00362D17" w:rsidP="00774523">
      <w:pPr>
        <w:spacing w:line="240" w:lineRule="atLeast"/>
        <w:ind w:right="51"/>
        <w:jc w:val="center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</w:p>
    <w:p w14:paraId="07BB3C94" w14:textId="350FB26A" w:rsidR="00362D17" w:rsidRDefault="00362D17" w:rsidP="00774523">
      <w:pPr>
        <w:spacing w:line="240" w:lineRule="atLeast"/>
        <w:ind w:right="51"/>
        <w:jc w:val="center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</w:p>
    <w:p w14:paraId="363C4C46" w14:textId="4246E302" w:rsidR="00362D17" w:rsidRDefault="00362D17" w:rsidP="00362D17">
      <w:pPr>
        <w:ind w:right="51"/>
        <w:jc w:val="center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</w:p>
    <w:p w14:paraId="347FABCE" w14:textId="20EEBCC7" w:rsidR="00362D17" w:rsidRDefault="00362D17" w:rsidP="00362D17">
      <w:pPr>
        <w:ind w:right="51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</w:p>
    <w:p w14:paraId="70C9192B" w14:textId="77777777" w:rsidR="00362D17" w:rsidRDefault="00362D17" w:rsidP="00362D17">
      <w:pPr>
        <w:ind w:right="51"/>
        <w:rPr>
          <w:rFonts w:ascii="Calibri" w:eastAsiaTheme="minorHAnsi" w:hAnsi="Calibri" w:cs="Calibri"/>
          <w:color w:val="000000"/>
          <w:lang w:val="es-MX"/>
        </w:rPr>
      </w:pPr>
      <w:r>
        <w:rPr>
          <w:rFonts w:ascii="Montserrat" w:hAnsi="Montserrat" w:cs="Calibri"/>
          <w:b/>
          <w:bCs/>
          <w:color w:val="000000"/>
          <w:sz w:val="20"/>
          <w:szCs w:val="20"/>
          <w:lang w:val="pt-BR"/>
        </w:rPr>
        <w:t xml:space="preserve">LINK DE FOTOS </w:t>
      </w:r>
    </w:p>
    <w:p w14:paraId="6DD7725E" w14:textId="77777777" w:rsidR="00362D17" w:rsidRPr="00362D17" w:rsidRDefault="00362D17" w:rsidP="00362D17">
      <w:pPr>
        <w:ind w:right="51"/>
        <w:rPr>
          <w:rFonts w:ascii="Calibri" w:hAnsi="Calibri" w:cs="Calibri"/>
          <w:color w:val="000000"/>
        </w:rPr>
      </w:pPr>
      <w:hyperlink r:id="rId8" w:history="1">
        <w:r w:rsidRPr="00362D17">
          <w:rPr>
            <w:rStyle w:val="Hipervnculo"/>
            <w:rFonts w:ascii="Montserrat" w:hAnsi="Montserrat" w:cs="Calibri"/>
            <w:sz w:val="20"/>
            <w:szCs w:val="20"/>
            <w:lang w:val="pt-BR"/>
          </w:rPr>
          <w:t>https://bit.ly/40ZaN11</w:t>
        </w:r>
      </w:hyperlink>
    </w:p>
    <w:p w14:paraId="01CCE7F4" w14:textId="2CEB1DF6" w:rsidR="00362D17" w:rsidRPr="00362D17" w:rsidRDefault="00362D17" w:rsidP="00362D17">
      <w:pPr>
        <w:ind w:right="51"/>
        <w:rPr>
          <w:rFonts w:ascii="Montserrat" w:eastAsia="Times New Roman" w:hAnsi="Montserrat" w:cs="Times New Roman"/>
          <w:b/>
          <w:bCs/>
          <w:color w:val="000000" w:themeColor="text1"/>
          <w:lang w:eastAsia="es-MX"/>
        </w:rPr>
      </w:pPr>
    </w:p>
    <w:p w14:paraId="52E92130" w14:textId="54AB0F78" w:rsidR="00362D17" w:rsidRDefault="00362D17" w:rsidP="00362D17">
      <w:pPr>
        <w:ind w:right="51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</w:p>
    <w:p w14:paraId="417D510D" w14:textId="7F9B2D1F" w:rsidR="00362D17" w:rsidRDefault="00362D17" w:rsidP="00362D17">
      <w:pPr>
        <w:ind w:right="51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</w:p>
    <w:p w14:paraId="7F1EF073" w14:textId="60FB6516" w:rsidR="00362D17" w:rsidRDefault="00362D17" w:rsidP="00362D17">
      <w:pPr>
        <w:ind w:right="51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</w:p>
    <w:p w14:paraId="2761D9D5" w14:textId="6FEE75E0" w:rsidR="00362D17" w:rsidRDefault="00362D17" w:rsidP="00362D17">
      <w:pPr>
        <w:ind w:right="51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</w:p>
    <w:p w14:paraId="2A2D06BE" w14:textId="77777777" w:rsidR="00362D17" w:rsidRPr="00E950EF" w:rsidRDefault="00362D17" w:rsidP="00362D17">
      <w:pPr>
        <w:ind w:right="51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</w:p>
    <w:sectPr w:rsidR="00362D17" w:rsidRPr="00E950EF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E40D" w14:textId="77777777" w:rsidR="00E37D05" w:rsidRDefault="00E37D05">
      <w:r>
        <w:separator/>
      </w:r>
    </w:p>
  </w:endnote>
  <w:endnote w:type="continuationSeparator" w:id="0">
    <w:p w14:paraId="4A79068F" w14:textId="77777777" w:rsidR="00E37D05" w:rsidRDefault="00E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6329D0" w:rsidRDefault="00A15CF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E529" w14:textId="77777777" w:rsidR="00E37D05" w:rsidRDefault="00E37D05">
      <w:r>
        <w:separator/>
      </w:r>
    </w:p>
  </w:footnote>
  <w:footnote w:type="continuationSeparator" w:id="0">
    <w:p w14:paraId="1A079E18" w14:textId="77777777" w:rsidR="00E37D05" w:rsidRDefault="00E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3E58F0DA" w:rsidR="006329D0" w:rsidRDefault="000D7DC0">
    <w:pPr>
      <w:pStyle w:val="Encabezado"/>
      <w:ind w:left="-1276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2ADD0" wp14:editId="3004AC76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6329D0" w:rsidRPr="005D5A3E" w:rsidRDefault="00A15CF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6329D0" w:rsidRPr="00C0299D" w:rsidRDefault="006329D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2AD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dZgIAAD0FAAAOAAAAZHJzL2Uyb0RvYy54bWysVN9v0zAQfkfif7D8TtNuA0rUdCqdipCq&#10;bWJDe3Yde43m+MzZbVL++p2dpIXByxAvzuX83a/v7jy7bGvD9gp9Bbbgk9GYM2UllJV9LPj3+9W7&#10;KWc+CFsKA1YV/KA8v5y/fTNrXK7OYAumVMjIifV54wq+DcHlWeblVtXCj8ApS5casBaBfvExK1E0&#10;5L022dl4/CFrAEuHIJX3pL3qLvk8+ddayXCjtVeBmYJTbiGdmM5NPLP5TOSPKNy2kn0a4h+yqEVl&#10;KejR1ZUIgu2w+sNVXUkEDzqMJNQZaF1JlWqgaibjF9XcbYVTqRYix7sjTf7/uZXX+zt3iyy0n6Gl&#10;BqYivFuDfPLETdY4n/eYyKnPPaFjoa3GOn6pBEaGxO3hyKdqA5OkPL/4+Gk6pitJdxfT87Pz95Hw&#10;7GTt0IcvCmoWhYIj9StlIPZrHzroAInBLKwqY1LPjP1NQT47jUpN761PCScpHIyKVsZ+U5pVZco7&#10;KtK4qaVBthc0KEJKZcOkzzWhI0pT7NcY9vho2mX1GuOjRYoMNhyN68oCdn2KW3JKu3waUtYdvu+f&#10;7+qOFIR20xJ9UdxAeaDGI3Q74Z1cVdSEtfDhViAtAfWNFjvc0KENNAWHXuJsC/jzb/qIp9mkW84a&#10;WqqC+x87gYoz89XS1MYNHAQchM0g2F29BKJ/Qk+Gk0kkAwxmEDVC/UD7vohR6EpYSbEKHgZxGbrV&#10;pvdCqsUigWjPnAhre+fkMN9xpO7bB4Gun7tAE3sNw7qJ/MX4ddjYCAuLXQBdpdk8sdgTTTuaprt/&#10;T+Ij8Ot/Qp1evfkzAAAA//8DAFBLAwQUAAYACAAAACEAe4ABSt4AAAALAQAADwAAAGRycy9kb3du&#10;cmV2LnhtbExPwU6DQBS8m/gPm9fEm10gDQplaRqjJxMjxYPHBV5hU/YtstsW/97nSW8zbybzZord&#10;YkdxwdkbRwridQQCqXWdoV7BR/1y/wjCB02dHh2hgm/0sCtvbwqdd+5KFV4OoRccQj7XCoYQplxK&#10;3w5otV+7CYm1o5utDkznXnazvnK4HWUSRam02hB/GPSETwO2p8PZKth/UvVsvt6a9+pYmbrOInpN&#10;T0rdrZb9FkTAJfyZ4bc+V4eSOzXuTJ0Xo4JNsuEtgYU4ZcCO7CFh0PAlS2KQZSH/byh/AAAA//8D&#10;AFBLAQItABQABgAIAAAAIQC2gziS/gAAAOEBAAATAAAAAAAAAAAAAAAAAAAAAABbQ29udGVudF9U&#10;eXBlc10ueG1sUEsBAi0AFAAGAAgAAAAhADj9If/WAAAAlAEAAAsAAAAAAAAAAAAAAAAALwEAAF9y&#10;ZWxzLy5yZWxzUEsBAi0AFAAGAAgAAAAhAI8Uw11mAgAAPQUAAA4AAAAAAAAAAAAAAAAALgIAAGRy&#10;cy9lMm9Eb2MueG1sUEsBAi0AFAAGAAgAAAAhAHuAAUreAAAACwEAAA8AAAAAAAAAAAAAAAAAwAQA&#10;AGRycy9kb3ducmV2LnhtbFBLBQYAAAAABAAEAPMAAADLBQAAAAA=&#10;" filled="f" stroked="f">
              <v:textbox inset="0,0,0,0">
                <w:txbxContent>
                  <w:p w14:paraId="75103D39" w14:textId="77777777" w:rsidR="006329D0" w:rsidRPr="005D5A3E" w:rsidRDefault="00A15CF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6329D0" w:rsidRPr="00C0299D" w:rsidRDefault="006329D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15CF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82FBA8" wp14:editId="15038189">
              <wp:simplePos x="0" y="0"/>
              <wp:positionH relativeFrom="column">
                <wp:posOffset>3200400</wp:posOffset>
              </wp:positionH>
              <wp:positionV relativeFrom="paragraph">
                <wp:posOffset>965199</wp:posOffset>
              </wp:positionV>
              <wp:extent cx="29718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244A9" id="Conector rec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m2QEAABQEAAAOAAAAZHJzL2Uyb0RvYy54bWysU9uO0zAQfUfiHyy/06QV0N2o6Qp1VV5W&#10;sGKXD3AdO7HwTR7TpH/P2Ll0BUgrIV4s23POmTnj8e5uMJqcRQDlbE3Xq5ISYblrlG1r+v35+O6G&#10;EojMNkw7K2p6EUDv9m/f7HpfiY3rnG5EIChioep9TbsYfVUUwDthGKycFxaD0gXDIh5DWzSB9ahu&#10;dLEpy49F70Ljg+MCAG/vxyDdZ30pBY9fpQQRia4p1hbzGvJ6Smux37GqDcx3ik9lsH+owjBlMeki&#10;dc8iIz+D+kPKKB4cOBlX3JnCSam4yB7Qzbr8zc1Tx7zIXrA54Jc2wf+T5V/OB/sYUul8sE/+wfEf&#10;gE0peg/VEkwH8CNskMEkONZOhtzIy9JIMUTC8XJzu13flNhvPscKVs1EHyB+Fs6QtKmpVjZ5ZBU7&#10;P0BMqVk1Q9K1tqTHybotPyQ945uagm0zA5xWzVFpnXAQ2tNBB3Jm+NSfjtvD+216XVR7AcOTtgkt&#10;8mxMCa/28i5etBgzfxOSqCYZGvOlqRRLEsa5sHE9ZdEW0YkmsaCFWL5OnPDXqhby+nXy6GPO7Gxc&#10;yEZZF/4mEIe5ZDnip9eG0Xdqwck1l8cwjwGOXu7j9E3SbL88Z/r1M+9/AQAA//8DAFBLAwQUAAYA&#10;CAAAACEAWDxxSN8AAAALAQAADwAAAGRycy9kb3ducmV2LnhtbExP0UoDMRB8F/yHsIIvYnMWq/Z6&#10;uaKCBR8qtFXwMb2sd0eTzZmk7enXuwWhfZvZGWZnimnvrNhhiK0nBTeDDARS5U1LtYL31cv1A4iY&#10;NBltPaGCH4wwLc/PCp0bv6cF7papFhxCMdcKmpS6XMpYNeh0HPgOibUvH5xOTEMtTdB7DndWDrPs&#10;TjrdEn9odIfPDVab5dYp+LC/r2F1VS3mM/v9tnGz8PnUB6UuL/rHCYiEfTqa4VCfq0PJndZ+SyYK&#10;q2CU3fKWxMJoyIAd4/sDWP9fZFnI0w3lHwAAAP//AwBQSwECLQAUAAYACAAAACEAtoM4kv4AAADh&#10;AQAAEwAAAAAAAAAAAAAAAAAAAAAAW0NvbnRlbnRfVHlwZXNdLnhtbFBLAQItABQABgAIAAAAIQA4&#10;/SH/1gAAAJQBAAALAAAAAAAAAAAAAAAAAC8BAABfcmVscy8ucmVsc1BLAQItABQABgAIAAAAIQCb&#10;VMKm2QEAABQEAAAOAAAAAAAAAAAAAAAAAC4CAABkcnMvZTJvRG9jLnhtbFBLAQItABQABgAIAAAA&#10;IQBYPHFI3wAAAAsBAAAPAAAAAAAAAAAAAAAAADMEAABkcnMvZG93bnJldi54bWxQSwUGAAAAAAQA&#10;BADzAAAAPwUAAAAA&#10;" strokecolor="#af7c47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A6"/>
    <w:multiLevelType w:val="multilevel"/>
    <w:tmpl w:val="42E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D2793"/>
    <w:multiLevelType w:val="multilevel"/>
    <w:tmpl w:val="D56A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32893"/>
    <w:multiLevelType w:val="multilevel"/>
    <w:tmpl w:val="8DA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7E07"/>
    <w:multiLevelType w:val="multilevel"/>
    <w:tmpl w:val="4188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5F1C"/>
    <w:multiLevelType w:val="hybridMultilevel"/>
    <w:tmpl w:val="0E8095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B4DCE"/>
    <w:multiLevelType w:val="hybridMultilevel"/>
    <w:tmpl w:val="301A9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C4433"/>
    <w:multiLevelType w:val="hybridMultilevel"/>
    <w:tmpl w:val="1E921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97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836025">
    <w:abstractNumId w:val="7"/>
  </w:num>
  <w:num w:numId="3" w16cid:durableId="94715467">
    <w:abstractNumId w:val="2"/>
  </w:num>
  <w:num w:numId="4" w16cid:durableId="1295212800">
    <w:abstractNumId w:val="5"/>
  </w:num>
  <w:num w:numId="5" w16cid:durableId="1890218462">
    <w:abstractNumId w:val="1"/>
  </w:num>
  <w:num w:numId="6" w16cid:durableId="1807314544">
    <w:abstractNumId w:val="10"/>
  </w:num>
  <w:num w:numId="7" w16cid:durableId="1842887790">
    <w:abstractNumId w:val="9"/>
  </w:num>
  <w:num w:numId="8" w16cid:durableId="1060789550">
    <w:abstractNumId w:val="3"/>
  </w:num>
  <w:num w:numId="9" w16cid:durableId="352534792">
    <w:abstractNumId w:val="4"/>
  </w:num>
  <w:num w:numId="10" w16cid:durableId="1172374644">
    <w:abstractNumId w:val="6"/>
  </w:num>
  <w:num w:numId="11" w16cid:durableId="1674801635">
    <w:abstractNumId w:val="0"/>
  </w:num>
  <w:num w:numId="12" w16cid:durableId="31275009">
    <w:abstractNumId w:val="12"/>
  </w:num>
  <w:num w:numId="13" w16cid:durableId="1686781593">
    <w:abstractNumId w:val="8"/>
  </w:num>
  <w:num w:numId="14" w16cid:durableId="360591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33668"/>
    <w:rsid w:val="00076E7A"/>
    <w:rsid w:val="00084A30"/>
    <w:rsid w:val="000971FE"/>
    <w:rsid w:val="000B1AFB"/>
    <w:rsid w:val="000B5D78"/>
    <w:rsid w:val="000D7DC0"/>
    <w:rsid w:val="000F44EB"/>
    <w:rsid w:val="001037FE"/>
    <w:rsid w:val="00107DA0"/>
    <w:rsid w:val="001271C1"/>
    <w:rsid w:val="00151798"/>
    <w:rsid w:val="00184D3A"/>
    <w:rsid w:val="001E2F93"/>
    <w:rsid w:val="0021102B"/>
    <w:rsid w:val="00233BBB"/>
    <w:rsid w:val="00247406"/>
    <w:rsid w:val="002529AF"/>
    <w:rsid w:val="002A1BA8"/>
    <w:rsid w:val="002A4683"/>
    <w:rsid w:val="00336A69"/>
    <w:rsid w:val="0035304A"/>
    <w:rsid w:val="0035443B"/>
    <w:rsid w:val="00362D17"/>
    <w:rsid w:val="003633B6"/>
    <w:rsid w:val="00375E8D"/>
    <w:rsid w:val="003822D7"/>
    <w:rsid w:val="003C3DFC"/>
    <w:rsid w:val="003D15EF"/>
    <w:rsid w:val="00400C0D"/>
    <w:rsid w:val="0040133D"/>
    <w:rsid w:val="00401FE1"/>
    <w:rsid w:val="00410DCD"/>
    <w:rsid w:val="00413FBA"/>
    <w:rsid w:val="004204ED"/>
    <w:rsid w:val="0042335A"/>
    <w:rsid w:val="0047061E"/>
    <w:rsid w:val="004B53D9"/>
    <w:rsid w:val="005B0AA5"/>
    <w:rsid w:val="005D7FDF"/>
    <w:rsid w:val="00611F34"/>
    <w:rsid w:val="00631D68"/>
    <w:rsid w:val="006329D0"/>
    <w:rsid w:val="00635B77"/>
    <w:rsid w:val="006B1416"/>
    <w:rsid w:val="006E6C5F"/>
    <w:rsid w:val="00774523"/>
    <w:rsid w:val="00782906"/>
    <w:rsid w:val="0082077B"/>
    <w:rsid w:val="008362DE"/>
    <w:rsid w:val="008A1EA3"/>
    <w:rsid w:val="008B05B4"/>
    <w:rsid w:val="008B6FCE"/>
    <w:rsid w:val="008C37AA"/>
    <w:rsid w:val="008D7379"/>
    <w:rsid w:val="008E269C"/>
    <w:rsid w:val="008E5F5D"/>
    <w:rsid w:val="008F3F52"/>
    <w:rsid w:val="008F60AE"/>
    <w:rsid w:val="008F6CF4"/>
    <w:rsid w:val="00910754"/>
    <w:rsid w:val="00950200"/>
    <w:rsid w:val="009577A5"/>
    <w:rsid w:val="00982FA3"/>
    <w:rsid w:val="009971F9"/>
    <w:rsid w:val="009A2497"/>
    <w:rsid w:val="009A6C13"/>
    <w:rsid w:val="009E040F"/>
    <w:rsid w:val="009E642A"/>
    <w:rsid w:val="009F58E9"/>
    <w:rsid w:val="009F7525"/>
    <w:rsid w:val="00A13331"/>
    <w:rsid w:val="00A15CFC"/>
    <w:rsid w:val="00A20C81"/>
    <w:rsid w:val="00A2229A"/>
    <w:rsid w:val="00A332A9"/>
    <w:rsid w:val="00A623F3"/>
    <w:rsid w:val="00A65B5E"/>
    <w:rsid w:val="00A94708"/>
    <w:rsid w:val="00AD7C23"/>
    <w:rsid w:val="00AF779D"/>
    <w:rsid w:val="00B247C9"/>
    <w:rsid w:val="00B250E6"/>
    <w:rsid w:val="00B27D6C"/>
    <w:rsid w:val="00B651BB"/>
    <w:rsid w:val="00B76549"/>
    <w:rsid w:val="00B82DE0"/>
    <w:rsid w:val="00B83E7F"/>
    <w:rsid w:val="00BB0F10"/>
    <w:rsid w:val="00BC641F"/>
    <w:rsid w:val="00BC6604"/>
    <w:rsid w:val="00BE41DF"/>
    <w:rsid w:val="00C21E68"/>
    <w:rsid w:val="00C533E4"/>
    <w:rsid w:val="00C66C31"/>
    <w:rsid w:val="00C75F4A"/>
    <w:rsid w:val="00CA1BF7"/>
    <w:rsid w:val="00CA2446"/>
    <w:rsid w:val="00CB43D6"/>
    <w:rsid w:val="00CB7B9D"/>
    <w:rsid w:val="00CC5C17"/>
    <w:rsid w:val="00CF717C"/>
    <w:rsid w:val="00D065A0"/>
    <w:rsid w:val="00D147B2"/>
    <w:rsid w:val="00D42BC9"/>
    <w:rsid w:val="00D6053E"/>
    <w:rsid w:val="00D7239F"/>
    <w:rsid w:val="00DD4D8A"/>
    <w:rsid w:val="00DE181E"/>
    <w:rsid w:val="00DF2BC3"/>
    <w:rsid w:val="00E36A96"/>
    <w:rsid w:val="00E37D05"/>
    <w:rsid w:val="00E81A5E"/>
    <w:rsid w:val="00E87A83"/>
    <w:rsid w:val="00E950EF"/>
    <w:rsid w:val="00E9640A"/>
    <w:rsid w:val="00EA43CA"/>
    <w:rsid w:val="00F1409B"/>
    <w:rsid w:val="00F4300B"/>
    <w:rsid w:val="00F53F62"/>
    <w:rsid w:val="00F63ADC"/>
    <w:rsid w:val="00FB04E6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AA6AC2"/>
  <w15:docId w15:val="{C9BBC009-D3D0-4E75-BBD6-BE764BF0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F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B247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Revisin">
    <w:name w:val="Revision"/>
    <w:hidden/>
    <w:uiPriority w:val="99"/>
    <w:semiHidden/>
    <w:rsid w:val="003D15E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633B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B6FCE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0ZaN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28CC-CFDF-4503-9158-2AAD481C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Cocoletzi Santelices</dc:creator>
  <cp:keywords/>
  <dc:description/>
  <cp:lastModifiedBy>Sala de prensa IMSS</cp:lastModifiedBy>
  <cp:revision>3</cp:revision>
  <cp:lastPrinted>2023-02-13T20:02:00Z</cp:lastPrinted>
  <dcterms:created xsi:type="dcterms:W3CDTF">2023-02-14T20:46:00Z</dcterms:created>
  <dcterms:modified xsi:type="dcterms:W3CDTF">2023-02-14T20:48:00Z</dcterms:modified>
</cp:coreProperties>
</file>