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931" w:rsidRPr="00C35DE7" w:rsidRDefault="002F1931" w:rsidP="002F1931">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215D28">
        <w:rPr>
          <w:rFonts w:ascii="Montserrat Light" w:eastAsia="Batang" w:hAnsi="Montserrat Light" w:cs="Arial"/>
          <w:sz w:val="24"/>
          <w:szCs w:val="24"/>
        </w:rPr>
        <w:t xml:space="preserve">, </w:t>
      </w:r>
      <w:r w:rsidR="00C7349C">
        <w:rPr>
          <w:rFonts w:ascii="Montserrat Light" w:eastAsia="Batang" w:hAnsi="Montserrat Light" w:cs="Arial"/>
          <w:sz w:val="24"/>
          <w:szCs w:val="24"/>
        </w:rPr>
        <w:t>jueves 06</w:t>
      </w:r>
      <w:r w:rsidR="00215D28">
        <w:rPr>
          <w:rFonts w:ascii="Montserrat Light" w:eastAsia="Batang" w:hAnsi="Montserrat Light" w:cs="Arial"/>
          <w:sz w:val="24"/>
          <w:szCs w:val="24"/>
        </w:rPr>
        <w:t xml:space="preserve"> de febrero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2F1931" w:rsidRDefault="002F1931" w:rsidP="002F1931">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F11702">
        <w:rPr>
          <w:rFonts w:ascii="Montserrat Light" w:eastAsia="Batang" w:hAnsi="Montserrat Light" w:cs="Arial"/>
          <w:sz w:val="24"/>
          <w:szCs w:val="24"/>
        </w:rPr>
        <w:t>064</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AB129C" w:rsidRPr="00AB129C" w:rsidRDefault="00AB129C" w:rsidP="002F1931">
      <w:pPr>
        <w:spacing w:after="0" w:line="240" w:lineRule="atLeast"/>
        <w:jc w:val="center"/>
        <w:rPr>
          <w:rFonts w:ascii="Montserrat Light" w:eastAsia="Batang" w:hAnsi="Montserrat Light" w:cs="Arial"/>
          <w:b/>
          <w:sz w:val="24"/>
          <w:szCs w:val="36"/>
        </w:rPr>
      </w:pPr>
    </w:p>
    <w:p w:rsidR="002F1931" w:rsidRPr="00C35DE7" w:rsidRDefault="002F1931" w:rsidP="002F193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2F1931" w:rsidRDefault="002F1931" w:rsidP="002F1931">
      <w:pPr>
        <w:spacing w:after="0" w:line="240" w:lineRule="atLeast"/>
        <w:jc w:val="both"/>
        <w:rPr>
          <w:rFonts w:ascii="Montserrat Light" w:eastAsia="Batang" w:hAnsi="Montserrat Light" w:cs="Arial"/>
          <w:sz w:val="24"/>
          <w:szCs w:val="24"/>
        </w:rPr>
      </w:pPr>
    </w:p>
    <w:p w:rsidR="002F1931" w:rsidRDefault="00215D28" w:rsidP="002F193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H. Consejo Técnico del IMSS </w:t>
      </w:r>
      <w:r w:rsidR="000F25F8">
        <w:rPr>
          <w:rFonts w:ascii="Montserrat Light" w:eastAsia="Batang" w:hAnsi="Montserrat Light" w:cs="Arial"/>
          <w:b/>
          <w:sz w:val="28"/>
          <w:szCs w:val="28"/>
        </w:rPr>
        <w:t>ratifica criterio</w:t>
      </w:r>
      <w:r>
        <w:rPr>
          <w:rFonts w:ascii="Montserrat Light" w:eastAsia="Batang" w:hAnsi="Montserrat Light" w:cs="Arial"/>
          <w:b/>
          <w:sz w:val="28"/>
          <w:szCs w:val="28"/>
        </w:rPr>
        <w:t xml:space="preserve"> </w:t>
      </w:r>
      <w:r w:rsidR="000F25F8">
        <w:rPr>
          <w:rFonts w:ascii="Montserrat Light" w:eastAsia="Batang" w:hAnsi="Montserrat Light" w:cs="Arial"/>
          <w:b/>
          <w:sz w:val="28"/>
          <w:szCs w:val="28"/>
        </w:rPr>
        <w:t xml:space="preserve">de </w:t>
      </w:r>
      <w:r>
        <w:rPr>
          <w:rFonts w:ascii="Montserrat Light" w:eastAsia="Batang" w:hAnsi="Montserrat Light" w:cs="Arial"/>
          <w:b/>
          <w:sz w:val="28"/>
          <w:szCs w:val="28"/>
        </w:rPr>
        <w:t>25 salarios mínimos</w:t>
      </w:r>
      <w:r w:rsidR="000F25F8">
        <w:rPr>
          <w:rFonts w:ascii="Montserrat Light" w:eastAsia="Batang" w:hAnsi="Montserrat Light" w:cs="Arial"/>
          <w:b/>
          <w:sz w:val="28"/>
          <w:szCs w:val="28"/>
        </w:rPr>
        <w:t xml:space="preserve"> </w:t>
      </w:r>
      <w:r w:rsidR="00BC69BC">
        <w:rPr>
          <w:rFonts w:ascii="Montserrat Light" w:eastAsia="Batang" w:hAnsi="Montserrat Light" w:cs="Arial"/>
          <w:b/>
          <w:sz w:val="28"/>
          <w:szCs w:val="28"/>
        </w:rPr>
        <w:t xml:space="preserve">como límite </w:t>
      </w:r>
      <w:r w:rsidR="000F25F8">
        <w:rPr>
          <w:rFonts w:ascii="Montserrat Light" w:eastAsia="Batang" w:hAnsi="Montserrat Light" w:cs="Arial"/>
          <w:b/>
          <w:sz w:val="28"/>
          <w:szCs w:val="28"/>
        </w:rPr>
        <w:t>para el pago de pensiones</w:t>
      </w:r>
    </w:p>
    <w:p w:rsidR="002F1931" w:rsidRDefault="002F1931" w:rsidP="002F1931">
      <w:pPr>
        <w:spacing w:after="0" w:line="240" w:lineRule="atLeast"/>
        <w:jc w:val="center"/>
        <w:rPr>
          <w:rFonts w:ascii="Montserrat Light" w:eastAsia="Batang" w:hAnsi="Montserrat Light" w:cs="Arial"/>
          <w:b/>
          <w:sz w:val="28"/>
          <w:szCs w:val="28"/>
        </w:rPr>
      </w:pPr>
    </w:p>
    <w:p w:rsidR="005F24E0" w:rsidRDefault="005F24E0" w:rsidP="002F1931">
      <w:pPr>
        <w:spacing w:after="0" w:line="240" w:lineRule="atLeast"/>
        <w:jc w:val="both"/>
        <w:rPr>
          <w:rFonts w:ascii="Montserrat Light" w:eastAsia="Batang" w:hAnsi="Montserrat Light" w:cs="Arial"/>
          <w:sz w:val="24"/>
          <w:szCs w:val="24"/>
        </w:rPr>
      </w:pPr>
    </w:p>
    <w:p w:rsidR="00B62C89" w:rsidRDefault="002F1931" w:rsidP="002F1931">
      <w:pPr>
        <w:spacing w:after="0" w:line="240" w:lineRule="atLeast"/>
        <w:jc w:val="both"/>
        <w:rPr>
          <w:rFonts w:ascii="Montserrat Light" w:eastAsia="Batang" w:hAnsi="Montserrat Light" w:cs="Arial"/>
          <w:sz w:val="24"/>
          <w:szCs w:val="24"/>
        </w:rPr>
      </w:pPr>
      <w:bookmarkStart w:id="0" w:name="_GoBack"/>
      <w:bookmarkEnd w:id="0"/>
      <w:r w:rsidRPr="002F1931">
        <w:rPr>
          <w:rFonts w:ascii="Montserrat Light" w:eastAsia="Batang" w:hAnsi="Montserrat Light" w:cs="Arial"/>
          <w:sz w:val="24"/>
          <w:szCs w:val="24"/>
        </w:rPr>
        <w:t xml:space="preserve">En sesión extraordinaria </w:t>
      </w:r>
      <w:r w:rsidR="00AB129C">
        <w:rPr>
          <w:rFonts w:ascii="Montserrat Light" w:eastAsia="Batang" w:hAnsi="Montserrat Light" w:cs="Arial"/>
          <w:sz w:val="24"/>
          <w:szCs w:val="24"/>
        </w:rPr>
        <w:t xml:space="preserve">celebrada la tarde de ayer, </w:t>
      </w:r>
      <w:r w:rsidRPr="002F1931">
        <w:rPr>
          <w:rFonts w:ascii="Montserrat Light" w:eastAsia="Batang" w:hAnsi="Montserrat Light" w:cs="Arial"/>
          <w:sz w:val="24"/>
          <w:szCs w:val="24"/>
        </w:rPr>
        <w:t>el H. Consejo Técnico del Instituto Mexicano del Seguro Social (IMSS)</w:t>
      </w:r>
      <w:r w:rsidR="000F25F8">
        <w:rPr>
          <w:rFonts w:ascii="Montserrat Light" w:eastAsia="Batang" w:hAnsi="Montserrat Light" w:cs="Arial"/>
          <w:sz w:val="24"/>
          <w:szCs w:val="24"/>
        </w:rPr>
        <w:t>, encabezado por el director general, Maestro Zoé Robledo,</w:t>
      </w:r>
      <w:r w:rsidRPr="002F1931">
        <w:rPr>
          <w:rFonts w:ascii="Montserrat Light" w:eastAsia="Batang" w:hAnsi="Montserrat Light" w:cs="Arial"/>
          <w:sz w:val="24"/>
          <w:szCs w:val="24"/>
        </w:rPr>
        <w:t xml:space="preserve"> </w:t>
      </w:r>
      <w:r w:rsidR="00B62C89">
        <w:rPr>
          <w:rFonts w:ascii="Montserrat Light" w:eastAsia="Batang" w:hAnsi="Montserrat Light" w:cs="Arial"/>
          <w:sz w:val="24"/>
          <w:szCs w:val="24"/>
        </w:rPr>
        <w:t>ratificó por unanimidad el criterio que aplica el Instituto para determinar como límite superior de cotización 25 salarios mínimos para el pago de las pensiones, al amparo de la Ley del Seguro Social vigente al 30 de junio de 1997.</w:t>
      </w:r>
    </w:p>
    <w:p w:rsidR="00AB129C" w:rsidRDefault="00AB129C" w:rsidP="002F1931">
      <w:pPr>
        <w:spacing w:after="0" w:line="240" w:lineRule="atLeast"/>
        <w:jc w:val="both"/>
        <w:rPr>
          <w:rFonts w:ascii="Montserrat Light" w:eastAsia="Batang" w:hAnsi="Montserrat Light" w:cs="Arial"/>
          <w:sz w:val="24"/>
          <w:szCs w:val="24"/>
        </w:rPr>
      </w:pPr>
    </w:p>
    <w:p w:rsidR="00AB129C" w:rsidRPr="00AB129C" w:rsidRDefault="00AB129C" w:rsidP="00AB129C">
      <w:pPr>
        <w:spacing w:after="0" w:line="240" w:lineRule="atLeast"/>
        <w:jc w:val="both"/>
        <w:rPr>
          <w:rFonts w:ascii="Montserrat Light" w:hAnsi="Montserrat Light"/>
          <w:sz w:val="24"/>
          <w:szCs w:val="24"/>
          <w:lang w:val="es-ES"/>
        </w:rPr>
      </w:pPr>
      <w:r w:rsidRPr="00AB129C">
        <w:rPr>
          <w:rFonts w:ascii="Montserrat Light" w:eastAsia="Batang" w:hAnsi="Montserrat Light" w:cs="Arial"/>
          <w:sz w:val="24"/>
          <w:szCs w:val="24"/>
        </w:rPr>
        <w:t xml:space="preserve">Ello, derivado de </w:t>
      </w:r>
      <w:r w:rsidRPr="00AB129C">
        <w:rPr>
          <w:rFonts w:ascii="Montserrat Light" w:hAnsi="Montserrat Light"/>
          <w:sz w:val="24"/>
          <w:szCs w:val="24"/>
          <w:lang w:val="es-ES"/>
        </w:rPr>
        <w:t xml:space="preserve">la Jurisprudencia por contradicción de tesis de la Segunda Sala de la Suprema Corte de Justicia de la Nación (SCJN), </w:t>
      </w:r>
      <w:r>
        <w:rPr>
          <w:rFonts w:ascii="Montserrat Light" w:hAnsi="Montserrat Light"/>
          <w:sz w:val="24"/>
          <w:szCs w:val="24"/>
          <w:lang w:val="es-ES"/>
        </w:rPr>
        <w:t xml:space="preserve">publicada </w:t>
      </w:r>
      <w:r w:rsidRPr="00AB129C">
        <w:rPr>
          <w:rFonts w:ascii="Montserrat Light" w:hAnsi="Montserrat Light"/>
          <w:sz w:val="24"/>
          <w:szCs w:val="24"/>
          <w:lang w:val="es-ES"/>
        </w:rPr>
        <w:t>el viernes 24 de enero en el Semanario Judicial de la Federación, que fija en 10 salarios mínimos la base para cuantificar las pensiones.</w:t>
      </w:r>
    </w:p>
    <w:p w:rsidR="00AB129C" w:rsidRDefault="00AB129C" w:rsidP="00AB129C">
      <w:pPr>
        <w:spacing w:after="0" w:line="240" w:lineRule="atLeast"/>
        <w:jc w:val="both"/>
        <w:rPr>
          <w:rFonts w:ascii="Montserrat Light" w:hAnsi="Montserrat Light"/>
          <w:b/>
          <w:sz w:val="24"/>
          <w:szCs w:val="24"/>
          <w:lang w:val="es-ES"/>
        </w:rPr>
      </w:pPr>
    </w:p>
    <w:p w:rsidR="002F1931" w:rsidRDefault="00AB129C" w:rsidP="002F1931">
      <w:pPr>
        <w:spacing w:after="0" w:line="240" w:lineRule="atLeast"/>
        <w:jc w:val="both"/>
        <w:rPr>
          <w:rFonts w:ascii="Montserrat Light" w:hAnsi="Montserrat Light"/>
          <w:sz w:val="24"/>
          <w:szCs w:val="24"/>
          <w:lang w:val="es-ES"/>
        </w:rPr>
      </w:pPr>
      <w:r>
        <w:rPr>
          <w:rFonts w:ascii="Montserrat Light" w:eastAsia="Batang" w:hAnsi="Montserrat Light" w:cs="Arial"/>
          <w:sz w:val="24"/>
          <w:szCs w:val="24"/>
        </w:rPr>
        <w:t xml:space="preserve">Durante la sesión del órgano de dirección tripartita del Seguro Social, el </w:t>
      </w:r>
      <w:r w:rsidR="00B62C89">
        <w:rPr>
          <w:rFonts w:ascii="Montserrat Light" w:eastAsia="Batang" w:hAnsi="Montserrat Light" w:cs="Arial"/>
          <w:sz w:val="24"/>
          <w:szCs w:val="24"/>
        </w:rPr>
        <w:t>Director Jurídico del IMSS, Antonio Pérez Fonticoba</w:t>
      </w:r>
      <w:r w:rsidR="002A496D">
        <w:rPr>
          <w:rFonts w:ascii="Montserrat Light" w:eastAsia="Batang" w:hAnsi="Montserrat Light" w:cs="Arial"/>
          <w:sz w:val="24"/>
          <w:szCs w:val="24"/>
        </w:rPr>
        <w:t>,</w:t>
      </w:r>
      <w:r w:rsidR="00B62C89">
        <w:rPr>
          <w:rFonts w:ascii="Montserrat Light" w:eastAsia="Batang" w:hAnsi="Montserrat Light" w:cs="Arial"/>
          <w:sz w:val="24"/>
          <w:szCs w:val="24"/>
        </w:rPr>
        <w:t xml:space="preserve"> </w:t>
      </w:r>
      <w:r>
        <w:rPr>
          <w:rFonts w:ascii="Montserrat Light" w:eastAsia="Batang" w:hAnsi="Montserrat Light" w:cs="Arial"/>
          <w:sz w:val="24"/>
          <w:szCs w:val="24"/>
        </w:rPr>
        <w:t xml:space="preserve">presentó el proyecto que </w:t>
      </w:r>
      <w:r w:rsidR="00B62C89">
        <w:rPr>
          <w:rFonts w:ascii="Montserrat Light" w:eastAsia="Batang" w:hAnsi="Montserrat Light" w:cs="Arial"/>
          <w:sz w:val="24"/>
          <w:szCs w:val="24"/>
        </w:rPr>
        <w:t>establece que las direcciones de Incorporación y Recaudación; de Prestaciones Económicas y Sociales; y Administración</w:t>
      </w:r>
      <w:r w:rsidR="002A496D">
        <w:rPr>
          <w:rFonts w:ascii="Montserrat Light" w:eastAsia="Batang" w:hAnsi="Montserrat Light" w:cs="Arial"/>
          <w:sz w:val="24"/>
          <w:szCs w:val="24"/>
        </w:rPr>
        <w:t>,</w:t>
      </w:r>
      <w:r w:rsidR="00B62C89">
        <w:rPr>
          <w:rFonts w:ascii="Montserrat Light" w:eastAsia="Batang" w:hAnsi="Montserrat Light" w:cs="Arial"/>
          <w:sz w:val="24"/>
          <w:szCs w:val="24"/>
        </w:rPr>
        <w:t xml:space="preserve"> </w:t>
      </w:r>
      <w:r w:rsidR="000F25F8">
        <w:rPr>
          <w:rFonts w:ascii="Montserrat Light" w:eastAsia="Batang" w:hAnsi="Montserrat Light" w:cs="Arial"/>
          <w:sz w:val="24"/>
          <w:szCs w:val="24"/>
        </w:rPr>
        <w:t xml:space="preserve">llevarán a cabo </w:t>
      </w:r>
      <w:r w:rsidR="00B62C89">
        <w:rPr>
          <w:rFonts w:ascii="Montserrat Light" w:eastAsia="Batang" w:hAnsi="Montserrat Light" w:cs="Arial"/>
          <w:sz w:val="24"/>
          <w:szCs w:val="24"/>
        </w:rPr>
        <w:t>las acciones normativas y administrativas necesarias para el cumplimiento de este acuerdo.</w:t>
      </w:r>
    </w:p>
    <w:p w:rsidR="00B62C89" w:rsidRDefault="00B62C89" w:rsidP="00B62C89">
      <w:pPr>
        <w:spacing w:after="0" w:line="240" w:lineRule="atLeast"/>
        <w:jc w:val="both"/>
        <w:rPr>
          <w:rFonts w:ascii="Montserrat Light" w:hAnsi="Montserrat Light"/>
          <w:sz w:val="24"/>
          <w:szCs w:val="24"/>
          <w:lang w:val="es-ES"/>
        </w:rPr>
      </w:pPr>
    </w:p>
    <w:p w:rsidR="000F25F8" w:rsidRDefault="00B62C89" w:rsidP="000F25F8">
      <w:pPr>
        <w:spacing w:after="0" w:line="240" w:lineRule="atLeast"/>
        <w:jc w:val="both"/>
        <w:rPr>
          <w:rFonts w:ascii="Montserrat Light" w:hAnsi="Montserrat Light"/>
          <w:sz w:val="24"/>
          <w:szCs w:val="24"/>
          <w:lang w:val="es-ES"/>
        </w:rPr>
      </w:pPr>
      <w:r>
        <w:rPr>
          <w:rFonts w:ascii="Montserrat Light" w:hAnsi="Montserrat Light"/>
          <w:sz w:val="24"/>
          <w:szCs w:val="24"/>
          <w:lang w:val="es-ES"/>
        </w:rPr>
        <w:t>También se pidió a las direcciones normativas del Instituto Mexicano del Seguro Social que brinden el apoyo necesario para el cumplimiento de los objetivos de este criterio.</w:t>
      </w:r>
    </w:p>
    <w:p w:rsidR="000F25F8" w:rsidRDefault="000F25F8" w:rsidP="000F25F8">
      <w:pPr>
        <w:spacing w:after="0" w:line="240" w:lineRule="atLeast"/>
        <w:jc w:val="both"/>
        <w:rPr>
          <w:rFonts w:ascii="Montserrat Light" w:hAnsi="Montserrat Light"/>
          <w:sz w:val="24"/>
          <w:szCs w:val="24"/>
          <w:lang w:val="es-ES"/>
        </w:rPr>
      </w:pPr>
    </w:p>
    <w:p w:rsidR="003C230B" w:rsidRDefault="000F25F8" w:rsidP="000F25F8">
      <w:pPr>
        <w:spacing w:after="0" w:line="240" w:lineRule="atLeast"/>
        <w:jc w:val="both"/>
        <w:rPr>
          <w:rFonts w:ascii="Montserrat Light" w:hAnsi="Montserrat Light"/>
          <w:sz w:val="24"/>
          <w:szCs w:val="24"/>
        </w:rPr>
      </w:pPr>
      <w:r>
        <w:rPr>
          <w:rFonts w:ascii="Montserrat Light" w:hAnsi="Montserrat Light"/>
          <w:sz w:val="24"/>
          <w:szCs w:val="24"/>
          <w:lang w:val="es-ES"/>
        </w:rPr>
        <w:t xml:space="preserve">En la votación estuvieron presentes </w:t>
      </w:r>
      <w:r w:rsidR="003C230B">
        <w:rPr>
          <w:rFonts w:ascii="Montserrat Light" w:hAnsi="Montserrat Light"/>
          <w:sz w:val="24"/>
          <w:szCs w:val="24"/>
          <w:lang w:val="es-ES"/>
        </w:rPr>
        <w:t xml:space="preserve">los </w:t>
      </w:r>
      <w:r w:rsidR="002A496D">
        <w:rPr>
          <w:rFonts w:ascii="Montserrat Light" w:hAnsi="Montserrat Light"/>
          <w:sz w:val="24"/>
          <w:szCs w:val="24"/>
          <w:lang w:val="es-ES"/>
        </w:rPr>
        <w:t xml:space="preserve">consejeros </w:t>
      </w:r>
      <w:r w:rsidR="003C230B">
        <w:rPr>
          <w:rFonts w:ascii="Montserrat Light" w:hAnsi="Montserrat Light"/>
          <w:sz w:val="24"/>
          <w:szCs w:val="24"/>
          <w:lang w:val="es-ES"/>
        </w:rPr>
        <w:t xml:space="preserve">del </w:t>
      </w:r>
      <w:r w:rsidR="003C230B" w:rsidRPr="003C230B">
        <w:rPr>
          <w:rFonts w:ascii="Montserrat Light" w:hAnsi="Montserrat Light"/>
          <w:sz w:val="24"/>
          <w:szCs w:val="24"/>
        </w:rPr>
        <w:t>sector patronal</w:t>
      </w:r>
      <w:r w:rsidR="003C230B">
        <w:rPr>
          <w:rFonts w:ascii="Montserrat Light" w:hAnsi="Montserrat Light"/>
          <w:sz w:val="24"/>
          <w:szCs w:val="24"/>
        </w:rPr>
        <w:t xml:space="preserve">: </w:t>
      </w:r>
      <w:r w:rsidR="003C230B" w:rsidRPr="003C230B">
        <w:rPr>
          <w:rFonts w:ascii="Montserrat Light" w:hAnsi="Montserrat Light"/>
          <w:sz w:val="24"/>
          <w:szCs w:val="24"/>
        </w:rPr>
        <w:t>Jorge Dávila Girón</w:t>
      </w:r>
      <w:r w:rsidR="00F11702">
        <w:rPr>
          <w:rFonts w:ascii="Montserrat Light" w:hAnsi="Montserrat Light"/>
          <w:sz w:val="24"/>
          <w:szCs w:val="24"/>
        </w:rPr>
        <w:t>,</w:t>
      </w:r>
      <w:r w:rsidR="003C230B" w:rsidRPr="003C230B">
        <w:rPr>
          <w:rFonts w:ascii="Montserrat Light" w:hAnsi="Montserrat Light"/>
          <w:sz w:val="24"/>
          <w:szCs w:val="24"/>
        </w:rPr>
        <w:t xml:space="preserve"> Salomón </w:t>
      </w:r>
      <w:proofErr w:type="spellStart"/>
      <w:r w:rsidR="003C230B" w:rsidRPr="003C230B">
        <w:rPr>
          <w:rFonts w:ascii="Montserrat Light" w:hAnsi="Montserrat Light"/>
          <w:sz w:val="24"/>
          <w:szCs w:val="24"/>
        </w:rPr>
        <w:t>Presburger</w:t>
      </w:r>
      <w:proofErr w:type="spellEnd"/>
      <w:r w:rsidR="003C230B" w:rsidRPr="003C230B">
        <w:rPr>
          <w:rFonts w:ascii="Montserrat Light" w:hAnsi="Montserrat Light"/>
          <w:sz w:val="24"/>
          <w:szCs w:val="24"/>
        </w:rPr>
        <w:t xml:space="preserve"> </w:t>
      </w:r>
      <w:proofErr w:type="spellStart"/>
      <w:r w:rsidR="003C230B" w:rsidRPr="003C230B">
        <w:rPr>
          <w:rFonts w:ascii="Montserrat Light" w:hAnsi="Montserrat Light"/>
          <w:sz w:val="24"/>
          <w:szCs w:val="24"/>
        </w:rPr>
        <w:t>Slovik</w:t>
      </w:r>
      <w:proofErr w:type="spellEnd"/>
      <w:r w:rsidR="003C230B" w:rsidRPr="003C230B">
        <w:rPr>
          <w:rFonts w:ascii="Montserrat Light" w:hAnsi="Montserrat Light"/>
          <w:sz w:val="24"/>
          <w:szCs w:val="24"/>
        </w:rPr>
        <w:t xml:space="preserve"> y Manuel Reguera Rodríguez.</w:t>
      </w:r>
      <w:r w:rsidR="003C230B">
        <w:rPr>
          <w:rFonts w:ascii="Montserrat Light" w:hAnsi="Montserrat Light"/>
          <w:sz w:val="24"/>
          <w:szCs w:val="24"/>
        </w:rPr>
        <w:t xml:space="preserve"> Del </w:t>
      </w:r>
      <w:r w:rsidR="003C230B" w:rsidRPr="003C230B">
        <w:rPr>
          <w:rFonts w:ascii="Montserrat Light" w:hAnsi="Montserrat Light"/>
          <w:sz w:val="24"/>
          <w:szCs w:val="24"/>
        </w:rPr>
        <w:t>sector obrero</w:t>
      </w:r>
      <w:r w:rsidR="003C230B">
        <w:rPr>
          <w:rFonts w:ascii="Montserrat Light" w:hAnsi="Montserrat Light"/>
          <w:sz w:val="24"/>
          <w:szCs w:val="24"/>
        </w:rPr>
        <w:t>:</w:t>
      </w:r>
      <w:r w:rsidR="003C230B" w:rsidRPr="003C230B">
        <w:rPr>
          <w:rFonts w:ascii="Montserrat Light" w:hAnsi="Montserrat Light"/>
          <w:sz w:val="24"/>
          <w:szCs w:val="24"/>
        </w:rPr>
        <w:t xml:space="preserve"> José Luis Carazo Preciado</w:t>
      </w:r>
      <w:r w:rsidR="00F11702">
        <w:rPr>
          <w:rFonts w:ascii="Montserrat Light" w:hAnsi="Montserrat Light"/>
          <w:sz w:val="24"/>
          <w:szCs w:val="24"/>
        </w:rPr>
        <w:t>,</w:t>
      </w:r>
      <w:r w:rsidR="003C230B" w:rsidRPr="003C230B">
        <w:rPr>
          <w:rFonts w:ascii="Montserrat Light" w:hAnsi="Montserrat Light"/>
          <w:sz w:val="24"/>
          <w:szCs w:val="24"/>
        </w:rPr>
        <w:t xml:space="preserve"> Rodolfo González Guzmán</w:t>
      </w:r>
      <w:r w:rsidR="00F11702">
        <w:rPr>
          <w:rFonts w:ascii="Montserrat Light" w:hAnsi="Montserrat Light"/>
          <w:sz w:val="24"/>
          <w:szCs w:val="24"/>
        </w:rPr>
        <w:t>,</w:t>
      </w:r>
      <w:r w:rsidR="003C230B" w:rsidRPr="003C230B">
        <w:rPr>
          <w:rFonts w:ascii="Montserrat Light" w:hAnsi="Montserrat Light"/>
          <w:sz w:val="24"/>
          <w:szCs w:val="24"/>
        </w:rPr>
        <w:t xml:space="preserve"> Constantino Romero González y José Noé Mario Moreno Carbajal.</w:t>
      </w:r>
      <w:r w:rsidR="003C230B">
        <w:rPr>
          <w:rFonts w:ascii="Montserrat Light" w:hAnsi="Montserrat Light"/>
          <w:sz w:val="24"/>
          <w:szCs w:val="24"/>
        </w:rPr>
        <w:t xml:space="preserve"> </w:t>
      </w:r>
    </w:p>
    <w:p w:rsidR="003C230B" w:rsidRDefault="003C230B" w:rsidP="000F25F8">
      <w:pPr>
        <w:spacing w:after="0" w:line="240" w:lineRule="atLeast"/>
        <w:jc w:val="both"/>
        <w:rPr>
          <w:rFonts w:ascii="Montserrat Light" w:hAnsi="Montserrat Light"/>
          <w:sz w:val="24"/>
          <w:szCs w:val="24"/>
        </w:rPr>
      </w:pPr>
    </w:p>
    <w:p w:rsidR="00242B39" w:rsidRDefault="003C230B" w:rsidP="000F25F8">
      <w:pPr>
        <w:spacing w:after="0" w:line="240" w:lineRule="atLeast"/>
        <w:jc w:val="both"/>
        <w:rPr>
          <w:rFonts w:ascii="Montserrat Light" w:hAnsi="Montserrat Light"/>
          <w:sz w:val="24"/>
          <w:szCs w:val="24"/>
          <w:lang w:val="es-ES"/>
        </w:rPr>
      </w:pPr>
      <w:r>
        <w:rPr>
          <w:rFonts w:ascii="Montserrat Light" w:hAnsi="Montserrat Light"/>
          <w:sz w:val="24"/>
          <w:szCs w:val="24"/>
        </w:rPr>
        <w:t>Por parte del Poder Ejecutivo Federal</w:t>
      </w:r>
      <w:r w:rsidR="00242B39">
        <w:rPr>
          <w:rFonts w:ascii="Montserrat Light" w:hAnsi="Montserrat Light"/>
          <w:sz w:val="24"/>
          <w:szCs w:val="24"/>
        </w:rPr>
        <w:t>:</w:t>
      </w:r>
      <w:r>
        <w:rPr>
          <w:rFonts w:ascii="Montserrat Light" w:hAnsi="Montserrat Light"/>
          <w:sz w:val="24"/>
          <w:szCs w:val="24"/>
        </w:rPr>
        <w:t xml:space="preserve"> </w:t>
      </w:r>
      <w:r w:rsidR="000F25F8">
        <w:rPr>
          <w:rFonts w:ascii="Montserrat Light" w:hAnsi="Montserrat Light"/>
          <w:sz w:val="24"/>
          <w:szCs w:val="24"/>
          <w:lang w:val="es-ES"/>
        </w:rPr>
        <w:t>la Secretaria del Trabajo</w:t>
      </w:r>
      <w:r w:rsidR="00242B39">
        <w:rPr>
          <w:rFonts w:ascii="Montserrat Light" w:hAnsi="Montserrat Light"/>
          <w:sz w:val="24"/>
          <w:szCs w:val="24"/>
          <w:lang w:val="es-ES"/>
        </w:rPr>
        <w:t xml:space="preserve"> y Previsión Social</w:t>
      </w:r>
      <w:r w:rsidR="000F25F8">
        <w:rPr>
          <w:rFonts w:ascii="Montserrat Light" w:hAnsi="Montserrat Light"/>
          <w:sz w:val="24"/>
          <w:szCs w:val="24"/>
          <w:lang w:val="es-ES"/>
        </w:rPr>
        <w:t>, Luisa María Alcalde Luján</w:t>
      </w:r>
      <w:r w:rsidR="00F11702">
        <w:rPr>
          <w:rFonts w:ascii="Montserrat Light" w:hAnsi="Montserrat Light"/>
          <w:sz w:val="24"/>
          <w:szCs w:val="24"/>
          <w:lang w:val="es-ES"/>
        </w:rPr>
        <w:t>,</w:t>
      </w:r>
      <w:r w:rsidR="000F25F8">
        <w:rPr>
          <w:rFonts w:ascii="Montserrat Light" w:hAnsi="Montserrat Light"/>
          <w:sz w:val="24"/>
          <w:szCs w:val="24"/>
          <w:lang w:val="es-ES"/>
        </w:rPr>
        <w:t xml:space="preserve"> </w:t>
      </w:r>
      <w:r w:rsidR="002A496D">
        <w:rPr>
          <w:rFonts w:ascii="Montserrat Light" w:hAnsi="Montserrat Light"/>
          <w:sz w:val="24"/>
          <w:szCs w:val="24"/>
          <w:lang w:val="es-ES"/>
        </w:rPr>
        <w:t xml:space="preserve">y </w:t>
      </w:r>
      <w:r w:rsidR="000F25F8">
        <w:rPr>
          <w:rFonts w:ascii="Montserrat Light" w:hAnsi="Montserrat Light"/>
          <w:sz w:val="24"/>
          <w:szCs w:val="24"/>
          <w:lang w:val="es-ES"/>
        </w:rPr>
        <w:t xml:space="preserve">el subsecretario de Prevención y Promoción de la Salud, </w:t>
      </w:r>
      <w:r w:rsidR="000F25F8">
        <w:rPr>
          <w:rFonts w:ascii="Montserrat Light" w:hAnsi="Montserrat Light"/>
          <w:sz w:val="24"/>
          <w:szCs w:val="24"/>
          <w:lang w:val="es-ES"/>
        </w:rPr>
        <w:lastRenderedPageBreak/>
        <w:t>Hugo López-</w:t>
      </w:r>
      <w:proofErr w:type="spellStart"/>
      <w:r w:rsidR="000F25F8">
        <w:rPr>
          <w:rFonts w:ascii="Montserrat Light" w:hAnsi="Montserrat Light"/>
          <w:sz w:val="24"/>
          <w:szCs w:val="24"/>
          <w:lang w:val="es-ES"/>
        </w:rPr>
        <w:t>Gatell</w:t>
      </w:r>
      <w:proofErr w:type="spellEnd"/>
      <w:r>
        <w:rPr>
          <w:rFonts w:ascii="Montserrat Light" w:hAnsi="Montserrat Light"/>
          <w:sz w:val="24"/>
          <w:szCs w:val="24"/>
          <w:lang w:val="es-ES"/>
        </w:rPr>
        <w:t xml:space="preserve">. Como invitada asistió la Oficial Mayor de la Secretaría de Hacienda y Crédito Público </w:t>
      </w:r>
      <w:r w:rsidR="00242B39">
        <w:rPr>
          <w:rFonts w:ascii="Montserrat Light" w:hAnsi="Montserrat Light"/>
          <w:sz w:val="24"/>
          <w:szCs w:val="24"/>
          <w:lang w:val="es-ES"/>
        </w:rPr>
        <w:t>(SHCP), Thalía Lagunas Aragón.</w:t>
      </w:r>
    </w:p>
    <w:p w:rsidR="00242B39" w:rsidRDefault="00242B39" w:rsidP="000F25F8">
      <w:pPr>
        <w:spacing w:after="0" w:line="240" w:lineRule="atLeast"/>
        <w:jc w:val="both"/>
        <w:rPr>
          <w:rFonts w:ascii="Montserrat Light" w:hAnsi="Montserrat Light"/>
          <w:sz w:val="24"/>
          <w:szCs w:val="24"/>
          <w:lang w:val="es-ES"/>
        </w:rPr>
      </w:pPr>
    </w:p>
    <w:p w:rsidR="00A366DA" w:rsidRDefault="000F25F8" w:rsidP="000F25F8">
      <w:pPr>
        <w:spacing w:after="0" w:line="240" w:lineRule="atLeast"/>
        <w:jc w:val="center"/>
      </w:pPr>
      <w:r>
        <w:rPr>
          <w:rFonts w:ascii="Montserrat Light" w:hAnsi="Montserrat Light"/>
          <w:sz w:val="24"/>
          <w:szCs w:val="24"/>
          <w:lang w:val="es-ES"/>
        </w:rPr>
        <w:t>-</w:t>
      </w:r>
      <w:r w:rsidR="002F1931" w:rsidRPr="00E468B2">
        <w:rPr>
          <w:rFonts w:ascii="Montserrat Light" w:eastAsia="Batang" w:hAnsi="Montserrat Light" w:cs="Arial"/>
          <w:b/>
          <w:sz w:val="24"/>
          <w:szCs w:val="24"/>
        </w:rPr>
        <w:t>-- o0o ---</w:t>
      </w:r>
    </w:p>
    <w:sectPr w:rsidR="00A366DA" w:rsidSect="00690382">
      <w:headerReference w:type="default" r:id="rId8"/>
      <w:pgSz w:w="12240" w:h="15840"/>
      <w:pgMar w:top="2977" w:right="1080" w:bottom="1276"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D86" w:rsidRDefault="00F82D86">
      <w:pPr>
        <w:spacing w:after="0" w:line="240" w:lineRule="auto"/>
      </w:pPr>
      <w:r>
        <w:separator/>
      </w:r>
    </w:p>
  </w:endnote>
  <w:endnote w:type="continuationSeparator" w:id="0">
    <w:p w:rsidR="00F82D86" w:rsidRDefault="00F82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D86" w:rsidRDefault="00F82D86">
      <w:pPr>
        <w:spacing w:after="0" w:line="240" w:lineRule="auto"/>
      </w:pPr>
      <w:r>
        <w:separator/>
      </w:r>
    </w:p>
  </w:footnote>
  <w:footnote w:type="continuationSeparator" w:id="0">
    <w:p w:rsidR="00F82D86" w:rsidRDefault="00F82D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AD28F4" w:rsidP="00D7342B">
    <w:pPr>
      <w:pStyle w:val="Encabezado"/>
      <w:ind w:left="-284"/>
    </w:pPr>
    <w:r>
      <w:rPr>
        <w:noProof/>
        <w:lang w:eastAsia="es-MX"/>
      </w:rPr>
      <w:drawing>
        <wp:anchor distT="0" distB="0" distL="114300" distR="114300" simplePos="0" relativeHeight="251659264" behindDoc="1" locked="0" layoutInCell="1" allowOverlap="1" wp14:anchorId="121C0F5C" wp14:editId="5985FAB0">
          <wp:simplePos x="0" y="0"/>
          <wp:positionH relativeFrom="column">
            <wp:posOffset>-685800</wp:posOffset>
          </wp:positionH>
          <wp:positionV relativeFrom="paragraph">
            <wp:posOffset>-448945</wp:posOffset>
          </wp:positionV>
          <wp:extent cx="7810505" cy="10173036"/>
          <wp:effectExtent l="0" t="0" r="0" b="127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1171A90"/>
    <w:multiLevelType w:val="hybridMultilevel"/>
    <w:tmpl w:val="90C082A4"/>
    <w:lvl w:ilvl="0" w:tplc="080A0003">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931"/>
    <w:rsid w:val="00022537"/>
    <w:rsid w:val="000916CD"/>
    <w:rsid w:val="000F25F8"/>
    <w:rsid w:val="001105D1"/>
    <w:rsid w:val="00215D28"/>
    <w:rsid w:val="0023755A"/>
    <w:rsid w:val="00242B39"/>
    <w:rsid w:val="002A496D"/>
    <w:rsid w:val="002F1931"/>
    <w:rsid w:val="0037531C"/>
    <w:rsid w:val="003C230B"/>
    <w:rsid w:val="003E4826"/>
    <w:rsid w:val="004964C9"/>
    <w:rsid w:val="004A6543"/>
    <w:rsid w:val="004F2EE9"/>
    <w:rsid w:val="00512D48"/>
    <w:rsid w:val="0052779E"/>
    <w:rsid w:val="005C22D2"/>
    <w:rsid w:val="005F24E0"/>
    <w:rsid w:val="00670ABC"/>
    <w:rsid w:val="00690382"/>
    <w:rsid w:val="006F30F7"/>
    <w:rsid w:val="007A05AF"/>
    <w:rsid w:val="008A2583"/>
    <w:rsid w:val="008E3932"/>
    <w:rsid w:val="009C1EC1"/>
    <w:rsid w:val="00A366DA"/>
    <w:rsid w:val="00A844E4"/>
    <w:rsid w:val="00A90681"/>
    <w:rsid w:val="00AB129C"/>
    <w:rsid w:val="00AD28F4"/>
    <w:rsid w:val="00B62C89"/>
    <w:rsid w:val="00BC69BC"/>
    <w:rsid w:val="00C7349C"/>
    <w:rsid w:val="00DC1CDC"/>
    <w:rsid w:val="00F11702"/>
    <w:rsid w:val="00F82D86"/>
    <w:rsid w:val="00F95C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93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1931"/>
    <w:pPr>
      <w:tabs>
        <w:tab w:val="center" w:pos="4153"/>
        <w:tab w:val="right" w:pos="8306"/>
      </w:tabs>
    </w:pPr>
  </w:style>
  <w:style w:type="character" w:customStyle="1" w:styleId="EncabezadoCar">
    <w:name w:val="Encabezado Car"/>
    <w:basedOn w:val="Fuentedeprrafopredeter"/>
    <w:link w:val="Encabezado"/>
    <w:uiPriority w:val="99"/>
    <w:rsid w:val="002F1931"/>
    <w:rPr>
      <w:rFonts w:ascii="Calibri" w:eastAsia="Calibri" w:hAnsi="Calibri" w:cs="Times New Roman"/>
    </w:rPr>
  </w:style>
  <w:style w:type="paragraph" w:styleId="Prrafodelista">
    <w:name w:val="List Paragraph"/>
    <w:basedOn w:val="Normal"/>
    <w:uiPriority w:val="34"/>
    <w:qFormat/>
    <w:rsid w:val="002F1931"/>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93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1931"/>
    <w:pPr>
      <w:tabs>
        <w:tab w:val="center" w:pos="4153"/>
        <w:tab w:val="right" w:pos="8306"/>
      </w:tabs>
    </w:pPr>
  </w:style>
  <w:style w:type="character" w:customStyle="1" w:styleId="EncabezadoCar">
    <w:name w:val="Encabezado Car"/>
    <w:basedOn w:val="Fuentedeprrafopredeter"/>
    <w:link w:val="Encabezado"/>
    <w:uiPriority w:val="99"/>
    <w:rsid w:val="002F1931"/>
    <w:rPr>
      <w:rFonts w:ascii="Calibri" w:eastAsia="Calibri" w:hAnsi="Calibri" w:cs="Times New Roman"/>
    </w:rPr>
  </w:style>
  <w:style w:type="paragraph" w:styleId="Prrafodelista">
    <w:name w:val="List Paragraph"/>
    <w:basedOn w:val="Normal"/>
    <w:uiPriority w:val="34"/>
    <w:qFormat/>
    <w:rsid w:val="002F1931"/>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314</Words>
  <Characters>1728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Rogelio Alberto Ruiz Alemán</cp:lastModifiedBy>
  <cp:revision>5</cp:revision>
  <cp:lastPrinted>2020-02-06T03:31:00Z</cp:lastPrinted>
  <dcterms:created xsi:type="dcterms:W3CDTF">2020-02-06T14:02:00Z</dcterms:created>
  <dcterms:modified xsi:type="dcterms:W3CDTF">2020-02-06T14:26:00Z</dcterms:modified>
</cp:coreProperties>
</file>