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5CA753" w14:textId="77777777" w:rsidR="00F23A2A" w:rsidRPr="003B231D" w:rsidRDefault="00F23A2A" w:rsidP="009C1FD5">
      <w:pPr>
        <w:spacing w:after="0" w:line="240" w:lineRule="atLeast"/>
        <w:jc w:val="right"/>
        <w:rPr>
          <w:rFonts w:ascii="Geomanist" w:hAnsi="Geomanist"/>
          <w:b/>
          <w:color w:val="134E39"/>
          <w:sz w:val="24"/>
          <w:szCs w:val="24"/>
        </w:rPr>
      </w:pPr>
      <w:r w:rsidRPr="003B231D">
        <w:rPr>
          <w:rFonts w:ascii="Geomanist" w:hAnsi="Geomanist"/>
          <w:b/>
          <w:color w:val="134E39"/>
          <w:sz w:val="24"/>
          <w:szCs w:val="24"/>
        </w:rPr>
        <w:t>BOLETÍN DE PRENSA</w:t>
      </w:r>
    </w:p>
    <w:p w14:paraId="65D57583" w14:textId="1C773C38" w:rsidR="009C1FD5" w:rsidRPr="00723D20" w:rsidRDefault="009C1FD5" w:rsidP="009C1FD5">
      <w:pPr>
        <w:spacing w:after="0" w:line="240" w:lineRule="atLeast"/>
        <w:jc w:val="right"/>
        <w:rPr>
          <w:rFonts w:ascii="Geomanist" w:eastAsia="Montserrat Light" w:hAnsi="Geomanist" w:cs="Montserrat Light"/>
          <w:color w:val="000000"/>
        </w:rPr>
      </w:pPr>
      <w:r>
        <w:rPr>
          <w:rFonts w:ascii="Geomanist" w:eastAsia="Montserrat Light" w:hAnsi="Geomanist" w:cs="Montserrat Light"/>
          <w:color w:val="000000"/>
        </w:rPr>
        <w:t xml:space="preserve">Ciudad de México, </w:t>
      </w:r>
      <w:r w:rsidR="00A90614">
        <w:rPr>
          <w:rFonts w:ascii="Geomanist" w:eastAsia="Montserrat Light" w:hAnsi="Geomanist" w:cs="Montserrat Light"/>
          <w:color w:val="000000"/>
        </w:rPr>
        <w:t>miércoles</w:t>
      </w:r>
      <w:r>
        <w:rPr>
          <w:rFonts w:ascii="Geomanist" w:eastAsia="Montserrat Light" w:hAnsi="Geomanist" w:cs="Montserrat Light"/>
          <w:color w:val="000000"/>
        </w:rPr>
        <w:t xml:space="preserve"> 1</w:t>
      </w:r>
      <w:r w:rsidR="00A90614">
        <w:rPr>
          <w:rFonts w:ascii="Geomanist" w:eastAsia="Montserrat Light" w:hAnsi="Geomanist" w:cs="Montserrat Light"/>
          <w:color w:val="000000"/>
        </w:rPr>
        <w:t>6</w:t>
      </w:r>
      <w:r>
        <w:rPr>
          <w:rFonts w:ascii="Geomanist" w:eastAsia="Montserrat Light" w:hAnsi="Geomanist" w:cs="Montserrat Light"/>
          <w:color w:val="000000"/>
        </w:rPr>
        <w:t xml:space="preserve"> de octubre</w:t>
      </w:r>
      <w:r w:rsidRPr="00723D20">
        <w:rPr>
          <w:rFonts w:ascii="Geomanist" w:hAnsi="Geomanist"/>
        </w:rPr>
        <w:t xml:space="preserve"> </w:t>
      </w:r>
      <w:r w:rsidRPr="00723D20">
        <w:rPr>
          <w:rFonts w:ascii="Geomanist" w:eastAsia="Montserrat Light" w:hAnsi="Geomanist" w:cs="Montserrat Light"/>
          <w:color w:val="000000"/>
        </w:rPr>
        <w:t>de 2024</w:t>
      </w:r>
    </w:p>
    <w:p w14:paraId="490A1D06" w14:textId="77777777" w:rsidR="009C1FD5" w:rsidRPr="00723D20" w:rsidRDefault="009C1FD5" w:rsidP="009C1FD5">
      <w:pPr>
        <w:spacing w:after="0" w:line="240" w:lineRule="atLeast"/>
        <w:jc w:val="right"/>
        <w:rPr>
          <w:rFonts w:ascii="Geomanist" w:eastAsia="Montserrat Light" w:hAnsi="Geomanist" w:cs="Montserrat Light"/>
          <w:color w:val="000000"/>
        </w:rPr>
      </w:pPr>
      <w:bookmarkStart w:id="0" w:name="_gjdgxs" w:colFirst="0" w:colLast="0"/>
      <w:bookmarkEnd w:id="0"/>
      <w:r w:rsidRPr="00723D20">
        <w:rPr>
          <w:rFonts w:ascii="Geomanist" w:eastAsia="Montserrat Light" w:hAnsi="Geomanist" w:cs="Montserrat Light"/>
          <w:color w:val="000000"/>
        </w:rPr>
        <w:t xml:space="preserve">No. </w:t>
      </w:r>
      <w:r>
        <w:rPr>
          <w:rFonts w:ascii="Geomanist" w:eastAsia="Montserrat Light" w:hAnsi="Geomanist" w:cs="Montserrat Light"/>
          <w:color w:val="000000"/>
        </w:rPr>
        <w:t>028</w:t>
      </w:r>
      <w:r w:rsidRPr="00723D20">
        <w:rPr>
          <w:rFonts w:ascii="Geomanist" w:eastAsia="Montserrat Light" w:hAnsi="Geomanist" w:cs="Montserrat Light"/>
          <w:color w:val="000000"/>
        </w:rPr>
        <w:t>/2024</w:t>
      </w:r>
    </w:p>
    <w:p w14:paraId="24084161" w14:textId="77777777" w:rsidR="009C1FD5" w:rsidRPr="00C023D6" w:rsidRDefault="009C1FD5" w:rsidP="009C1FD5">
      <w:pPr>
        <w:spacing w:after="0" w:line="240" w:lineRule="atLeast"/>
        <w:jc w:val="right"/>
        <w:rPr>
          <w:rFonts w:ascii="Geomanist" w:eastAsia="Montserrat Light" w:hAnsi="Geomanist" w:cs="Montserrat Light"/>
          <w:color w:val="000000"/>
        </w:rPr>
      </w:pPr>
    </w:p>
    <w:p w14:paraId="6BC0E3AD" w14:textId="77777777" w:rsidR="009C1FD5" w:rsidRPr="009C1FD5" w:rsidRDefault="009C1FD5" w:rsidP="009C1FD5">
      <w:pPr>
        <w:spacing w:after="0" w:line="240" w:lineRule="atLeast"/>
        <w:jc w:val="center"/>
        <w:rPr>
          <w:rFonts w:ascii="Geomanist" w:eastAsia="Montserrat Light" w:hAnsi="Geomanist" w:cs="Montserrat Light"/>
          <w:b/>
          <w:bCs/>
          <w:sz w:val="32"/>
          <w:szCs w:val="32"/>
        </w:rPr>
      </w:pPr>
      <w:r w:rsidRPr="009C1FD5">
        <w:rPr>
          <w:rFonts w:ascii="Geomanist" w:eastAsia="Montserrat Light" w:hAnsi="Geomanist" w:cs="Montserrat Light"/>
          <w:b/>
          <w:bCs/>
          <w:sz w:val="32"/>
          <w:szCs w:val="32"/>
        </w:rPr>
        <w:t>Hospital de Traumatología y Ortopedia Lomas Verdes del IMSS cumple 43 años como referente en investigación y resolución de patologías complejas</w:t>
      </w:r>
    </w:p>
    <w:p w14:paraId="61EB61F3" w14:textId="77777777" w:rsidR="009C1FD5" w:rsidRPr="00C50169" w:rsidRDefault="009C1FD5" w:rsidP="009C1FD5">
      <w:pPr>
        <w:spacing w:after="0" w:line="240" w:lineRule="atLeast"/>
        <w:jc w:val="both"/>
        <w:rPr>
          <w:rFonts w:ascii="Geomanist" w:eastAsia="Montserrat Light" w:hAnsi="Geomanist" w:cs="Montserrat Light"/>
          <w:b/>
          <w:bCs/>
          <w:color w:val="000000"/>
          <w:sz w:val="20"/>
          <w:szCs w:val="20"/>
        </w:rPr>
      </w:pPr>
    </w:p>
    <w:p w14:paraId="1E199C18" w14:textId="42838DE5" w:rsidR="009C1FD5" w:rsidRPr="009C1FD5" w:rsidRDefault="009C1FD5" w:rsidP="009C1FD5">
      <w:pPr>
        <w:pStyle w:val="Prrafodelista"/>
        <w:numPr>
          <w:ilvl w:val="0"/>
          <w:numId w:val="3"/>
        </w:numPr>
        <w:spacing w:after="0" w:line="240" w:lineRule="atLeast"/>
        <w:jc w:val="both"/>
        <w:rPr>
          <w:rFonts w:ascii="Geomanist" w:eastAsia="Montserrat Light" w:hAnsi="Geomanist" w:cs="Montserrat Light"/>
          <w:b/>
          <w:bCs/>
          <w:color w:val="000000"/>
        </w:rPr>
      </w:pPr>
      <w:r w:rsidRPr="009C1FD5">
        <w:rPr>
          <w:rFonts w:ascii="Geomanist" w:eastAsia="Montserrat Light" w:hAnsi="Geomanist" w:cs="Montserrat Light"/>
          <w:b/>
          <w:bCs/>
          <w:color w:val="000000"/>
        </w:rPr>
        <w:t xml:space="preserve">El 17 de octubre de 1981 se inauguró esta unidad hospitalaria que brinda atención a 8 millones de derechohabientes </w:t>
      </w:r>
      <w:r w:rsidR="0066558B">
        <w:rPr>
          <w:rFonts w:ascii="Geomanist" w:eastAsia="Montserrat Light" w:hAnsi="Geomanist" w:cs="Montserrat Light"/>
          <w:b/>
          <w:bCs/>
          <w:color w:val="000000"/>
        </w:rPr>
        <w:t xml:space="preserve">del </w:t>
      </w:r>
      <w:r w:rsidRPr="009C1FD5">
        <w:rPr>
          <w:rFonts w:ascii="Geomanist" w:eastAsia="Montserrat Light" w:hAnsi="Geomanist" w:cs="Montserrat Light"/>
          <w:b/>
          <w:bCs/>
          <w:color w:val="000000"/>
        </w:rPr>
        <w:t>Estado de México, la Ciudad de México, Chiapas, Guerrero, Morelos, Oaxaca, Puebla, Querétaro, Tabasco, Tlaxcala y Veracruz.</w:t>
      </w:r>
    </w:p>
    <w:p w14:paraId="5785FF03" w14:textId="77777777" w:rsidR="009C1FD5" w:rsidRPr="009C1FD5" w:rsidRDefault="009C1FD5" w:rsidP="009C1FD5">
      <w:pPr>
        <w:pStyle w:val="Prrafodelista"/>
        <w:numPr>
          <w:ilvl w:val="0"/>
          <w:numId w:val="3"/>
        </w:numPr>
        <w:spacing w:after="0" w:line="240" w:lineRule="atLeast"/>
        <w:jc w:val="both"/>
        <w:rPr>
          <w:rFonts w:ascii="Geomanist" w:eastAsia="Montserrat Light" w:hAnsi="Geomanist" w:cs="Montserrat Light"/>
          <w:b/>
          <w:bCs/>
          <w:color w:val="000000"/>
        </w:rPr>
      </w:pPr>
      <w:r w:rsidRPr="009C1FD5">
        <w:rPr>
          <w:rFonts w:ascii="Geomanist" w:eastAsia="Montserrat Light" w:hAnsi="Geomanist" w:cs="Montserrat Light"/>
          <w:b/>
          <w:bCs/>
          <w:color w:val="000000"/>
        </w:rPr>
        <w:t xml:space="preserve">Es referente nacional en el tratamiento de traumas agudos y enfermedades crónico-degenerativas del sistema músculo-esquelético y brinda atención a la prevención o disminución de secuelas y discapacidades. </w:t>
      </w:r>
    </w:p>
    <w:p w14:paraId="4A94FC11" w14:textId="77777777" w:rsidR="009C1FD5" w:rsidRPr="009C1FD5" w:rsidRDefault="009C1FD5" w:rsidP="009C1FD5">
      <w:pPr>
        <w:pStyle w:val="Prrafodelista"/>
        <w:spacing w:after="0" w:line="240" w:lineRule="atLeast"/>
        <w:ind w:left="0"/>
        <w:contextualSpacing w:val="0"/>
        <w:jc w:val="both"/>
        <w:rPr>
          <w:rFonts w:ascii="Geomanist" w:eastAsia="Montserrat Light" w:hAnsi="Geomanist" w:cs="Montserrat Light"/>
          <w:b/>
          <w:bCs/>
          <w:color w:val="000000"/>
          <w:sz w:val="26"/>
          <w:szCs w:val="28"/>
        </w:rPr>
      </w:pPr>
    </w:p>
    <w:p w14:paraId="5096FA2E"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 xml:space="preserve">La Unidad Médica de Alta Especialidad (UMAE) Hospital de Traumatología y Ortopedia Lomas Verdes (HTOLV) cumple 43 años de actividades ininterrumpidas, tiempo en el que se ha distinguido por su innovación en el campo de la investigación y ser pionero en la resolución de padecimientos de alta complejidad. </w:t>
      </w:r>
    </w:p>
    <w:p w14:paraId="4B08A70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25FC9C19"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Desde su inauguración, el 17 de octubre de 1981, esta UMAE es un referente nacional en el tratamiento de traumas agudos y enfermedades crónico-degenerativas del sistema músculo esquelético con nivel de subespecialidad, además de la intervención oportuna a la actividad laboral, prevención o disminución de las secuelas y discapacidades, todo con tecnología e instalaciones físicas de gran nivel, explicó el doctor Gilberto Meza Reyes, director del HTOLV.</w:t>
      </w:r>
    </w:p>
    <w:p w14:paraId="66FD3BC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1BEB3330"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Cabe mencionar que actualmente esta UMAE brinda atención a más de 8 millones de derechohabientes del Estado de México, la Ciudad de México, Chiapas, Guerrero, Morelos, Oaxaca, Puebla, Querétaro, Tabasco, Tlaxcala y Veracruz.</w:t>
      </w:r>
    </w:p>
    <w:p w14:paraId="29176F83"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031DBB7A" w14:textId="4BE7635B"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El doctor Meza Reyes reconoció que a través del trabajo comprometido de más de mil 900 trabajadores, que incluyen médicos y médicas especialistas en Ortopedia, Traumatología, Cirugía Plástica y de tórax, Neurocirugía, Anestesiología, además de personal de Enfermería y Administrativo, esta UMAE realiza al año más de 13 mil cirugías y bri</w:t>
      </w:r>
      <w:r w:rsidR="0066558B">
        <w:rPr>
          <w:rFonts w:ascii="Geomanist" w:eastAsia="Montserrat Light" w:hAnsi="Geomanist" w:cs="Montserrat Light"/>
          <w:color w:val="000000"/>
          <w:sz w:val="24"/>
          <w:szCs w:val="24"/>
        </w:rPr>
        <w:t>n</w:t>
      </w:r>
      <w:r w:rsidRPr="009C1FD5">
        <w:rPr>
          <w:rFonts w:ascii="Geomanist" w:eastAsia="Montserrat Light" w:hAnsi="Geomanist" w:cs="Montserrat Light"/>
          <w:color w:val="000000"/>
          <w:sz w:val="24"/>
          <w:szCs w:val="24"/>
        </w:rPr>
        <w:t>da diariamente más de mil consultas de medicina externa y de especialidad.</w:t>
      </w:r>
    </w:p>
    <w:p w14:paraId="26ADE45B"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781E30E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 xml:space="preserve">Cuenta con una infraestructura de 266 camas censables, 17 consultorios y 16 quirófanos además de nueve salas de Imagenología y 18 cubículos de Terapia Intensiva; ofrece los servicios de Artroscopía, Reemplazo Articular, Prótesis de cadera, rodilla, Quemados, Cirugía Maxilofacial y Reconstructiva, Politrauma, Neurocirugía Cirugía General, además de las unidades de Terapia Intensiva, Cirugía de Corta Estancia y Urgencias. </w:t>
      </w:r>
    </w:p>
    <w:p w14:paraId="39470774"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74F5B89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lastRenderedPageBreak/>
        <w:t>Refirió que la productividad de esta UMAE en un día típico es de 35 intervenciones quirúrgicas, mil 16 estudios de radiodiagnóstico, 78 tomografías, 26 de resonancia magnética, 183 sesiones de inhaloterapia y 784 de medicina física, entre otras acciones.</w:t>
      </w:r>
    </w:p>
    <w:p w14:paraId="11B775B0"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462AAC1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 xml:space="preserve">Explicó que este “Hospital Escuela” se distingue por la formación de personal médico, que, aunado a la capacitación, mantiene estándares de atención a la derechohabiencia, prueba de ello, son los 300 médicos nacionales y extranjeros que se han forjado en las aulas de esta unidad. </w:t>
      </w:r>
    </w:p>
    <w:p w14:paraId="6E18CF4F"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48D60B8D"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Para dar mejor cobertura en la atención, refirió que esta UMAE cuenta con cuatro unidades radiológicas y fluoroscopía transportables; un esterilizador de baja temperatura; una unidad oftalmológica.</w:t>
      </w:r>
    </w:p>
    <w:p w14:paraId="5685F1D2"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6B9AD7B5"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Además, un ventilador de traslado pediátrico-adulto; dos unidades de anestesia de alta especialidad y cuatro de anestesia intermedia; 20 camillas neumáticas, dos lámparas quirúrgicas dobles, un resonador magnético y un ultrasonógrafo, entre otros.</w:t>
      </w:r>
    </w:p>
    <w:p w14:paraId="2E523377"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228D27AF"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El director de la UMAE Hospital de Traumatología y Ortopedia Lomas Verdes del IMSS, recordó que durante sus 43 años de existencia, esta unidad hospitalaria junto con la UMAE “Dr. Victorio de la Fuente Narváez”, han aportado su experiencia y profesionalismo en la atención de emergencias como la explosión de San Juan Ixhuatepec en 1984, los sismos de 1985 y 2017, o en incendios como el Bar “Lobohombo” en el 2000.</w:t>
      </w:r>
    </w:p>
    <w:p w14:paraId="1C383B0B"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343DE000"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Tales son los casos de éxito en salvamento de extremidades que permiten la autonomía e independencia del paciente, el manejo ortopédico y traumatológico con artropatía hemofílica, uso de aloinjertos de epidermis humana criopreservados en el tratamiento de personas quemadas, avances en el tratamiento del traumatismo craneofacial, entre otros.</w:t>
      </w:r>
    </w:p>
    <w:p w14:paraId="44C73305" w14:textId="77777777" w:rsidR="009C1FD5" w:rsidRPr="009C1FD5" w:rsidRDefault="009C1FD5" w:rsidP="009C1FD5">
      <w:pPr>
        <w:spacing w:after="0" w:line="240" w:lineRule="atLeast"/>
        <w:jc w:val="both"/>
        <w:rPr>
          <w:rFonts w:ascii="Geomanist" w:eastAsia="Montserrat Light" w:hAnsi="Geomanist" w:cs="Montserrat Light"/>
          <w:color w:val="000000"/>
          <w:sz w:val="24"/>
          <w:szCs w:val="24"/>
        </w:rPr>
      </w:pPr>
    </w:p>
    <w:p w14:paraId="6755D258" w14:textId="5046EFE3" w:rsidR="009C1FD5" w:rsidRDefault="009C1FD5" w:rsidP="009C1FD5">
      <w:pPr>
        <w:spacing w:after="0" w:line="240" w:lineRule="atLeast"/>
        <w:jc w:val="both"/>
        <w:rPr>
          <w:rFonts w:ascii="Geomanist" w:eastAsia="Montserrat Light" w:hAnsi="Geomanist" w:cs="Montserrat Light"/>
          <w:color w:val="000000"/>
          <w:sz w:val="24"/>
          <w:szCs w:val="24"/>
        </w:rPr>
      </w:pPr>
      <w:r w:rsidRPr="009C1FD5">
        <w:rPr>
          <w:rFonts w:ascii="Geomanist" w:eastAsia="Montserrat Light" w:hAnsi="Geomanist" w:cs="Montserrat Light"/>
          <w:color w:val="000000"/>
          <w:sz w:val="24"/>
          <w:szCs w:val="24"/>
        </w:rPr>
        <w:t>El doctor Meza Reyes añadió que los retos para el futuro son seguir creciendo, innovando y perfeccionar la tecnología de punta, siempre a la vanguardia y en beneficio de los derechohabientes.</w:t>
      </w:r>
    </w:p>
    <w:p w14:paraId="627379A5" w14:textId="77777777" w:rsidR="009C1FD5" w:rsidRDefault="009C1FD5" w:rsidP="009C1FD5">
      <w:pPr>
        <w:spacing w:after="0" w:line="240" w:lineRule="atLeast"/>
        <w:jc w:val="center"/>
        <w:rPr>
          <w:rFonts w:ascii="Geomanist" w:eastAsia="Montserrat Light" w:hAnsi="Geomanist" w:cs="Montserrat Light"/>
          <w:b/>
          <w:bCs/>
          <w:color w:val="000000"/>
          <w:sz w:val="24"/>
          <w:szCs w:val="24"/>
        </w:rPr>
      </w:pPr>
      <w:r w:rsidRPr="009C1FD5">
        <w:rPr>
          <w:rFonts w:ascii="Geomanist" w:eastAsia="Montserrat Light" w:hAnsi="Geomanist" w:cs="Montserrat Light"/>
          <w:b/>
          <w:bCs/>
          <w:color w:val="000000"/>
          <w:sz w:val="24"/>
          <w:szCs w:val="24"/>
        </w:rPr>
        <w:t>---o0o---</w:t>
      </w:r>
    </w:p>
    <w:p w14:paraId="54D557E5" w14:textId="77777777" w:rsidR="00A90614" w:rsidRPr="00A90614" w:rsidRDefault="00A90614" w:rsidP="00A90614">
      <w:pPr>
        <w:spacing w:after="0" w:line="240" w:lineRule="atLeast"/>
        <w:rPr>
          <w:rFonts w:ascii="Geomanist" w:eastAsia="Montserrat Light" w:hAnsi="Geomanist" w:cs="Montserrat Light"/>
          <w:b/>
          <w:bCs/>
          <w:color w:val="000000"/>
          <w:sz w:val="24"/>
          <w:szCs w:val="24"/>
        </w:rPr>
      </w:pPr>
      <w:r w:rsidRPr="00A90614">
        <w:rPr>
          <w:rFonts w:ascii="Geomanist" w:eastAsia="Montserrat Light" w:hAnsi="Geomanist" w:cs="Montserrat Light"/>
          <w:b/>
          <w:bCs/>
          <w:color w:val="000000"/>
          <w:sz w:val="24"/>
          <w:szCs w:val="24"/>
        </w:rPr>
        <w:t>LINK FOTOS</w:t>
      </w:r>
    </w:p>
    <w:p w14:paraId="1799D9E4" w14:textId="4CACB7B1" w:rsidR="00A90614" w:rsidRDefault="00AD5DCD" w:rsidP="00A90614">
      <w:pPr>
        <w:spacing w:after="0" w:line="240" w:lineRule="atLeast"/>
        <w:rPr>
          <w:rFonts w:ascii="Geomanist" w:eastAsia="Montserrat Light" w:hAnsi="Geomanist" w:cs="Montserrat Light"/>
          <w:color w:val="000000"/>
          <w:sz w:val="24"/>
          <w:szCs w:val="24"/>
        </w:rPr>
      </w:pPr>
      <w:hyperlink r:id="rId7" w:history="1">
        <w:r w:rsidR="00A90614" w:rsidRPr="00AA2E76">
          <w:rPr>
            <w:rStyle w:val="Hipervnculo"/>
            <w:rFonts w:ascii="Geomanist" w:eastAsia="Montserrat Light" w:hAnsi="Geomanist" w:cs="Montserrat Light"/>
            <w:sz w:val="24"/>
            <w:szCs w:val="24"/>
          </w:rPr>
          <w:t>https://drive.google.com/drive/folders/1BfOl5w8TrI5ZhaHaC2KEVLIV5azbtksq</w:t>
        </w:r>
      </w:hyperlink>
    </w:p>
    <w:p w14:paraId="73A08E2E" w14:textId="77777777" w:rsidR="00A90614" w:rsidRPr="00A90614" w:rsidRDefault="00A90614" w:rsidP="00A90614">
      <w:pPr>
        <w:spacing w:after="0" w:line="240" w:lineRule="atLeast"/>
        <w:rPr>
          <w:rFonts w:ascii="Geomanist" w:eastAsia="Montserrat Light" w:hAnsi="Geomanist" w:cs="Montserrat Light"/>
          <w:b/>
          <w:bCs/>
          <w:color w:val="000000"/>
          <w:sz w:val="24"/>
          <w:szCs w:val="24"/>
          <w:lang w:val="en-US"/>
        </w:rPr>
      </w:pPr>
      <w:r w:rsidRPr="00A90614">
        <w:rPr>
          <w:rFonts w:ascii="Geomanist" w:eastAsia="Montserrat Light" w:hAnsi="Geomanist" w:cs="Montserrat Light"/>
          <w:b/>
          <w:bCs/>
          <w:color w:val="000000"/>
          <w:sz w:val="24"/>
          <w:szCs w:val="24"/>
          <w:lang w:val="en-US"/>
        </w:rPr>
        <w:t>LINK VIDEO</w:t>
      </w:r>
    </w:p>
    <w:p w14:paraId="165F8591" w14:textId="32AD5758" w:rsidR="00A90614" w:rsidRPr="00A90614" w:rsidRDefault="00AD5DCD" w:rsidP="00A90614">
      <w:pPr>
        <w:spacing w:after="0" w:line="240" w:lineRule="atLeast"/>
        <w:rPr>
          <w:rFonts w:ascii="Geomanist" w:eastAsia="Montserrat Light" w:hAnsi="Geomanist" w:cs="Montserrat Light"/>
          <w:color w:val="000000"/>
          <w:sz w:val="24"/>
          <w:szCs w:val="24"/>
          <w:lang w:val="en-US"/>
        </w:rPr>
      </w:pPr>
      <w:hyperlink r:id="rId8" w:history="1">
        <w:r w:rsidR="00A90614" w:rsidRPr="00A90614">
          <w:rPr>
            <w:rStyle w:val="Hipervnculo"/>
            <w:rFonts w:ascii="Geomanist" w:eastAsia="Montserrat Light" w:hAnsi="Geomanist" w:cs="Montserrat Light"/>
            <w:sz w:val="24"/>
            <w:szCs w:val="24"/>
            <w:lang w:val="en-US"/>
          </w:rPr>
          <w:t>https://www.swisstransfer.com/d/77c70312-c2de-47df-bf2e-c5acb3a21bc9</w:t>
        </w:r>
      </w:hyperlink>
    </w:p>
    <w:sectPr w:rsidR="00A90614" w:rsidRPr="00A90614" w:rsidSect="00F23A2A">
      <w:headerReference w:type="default" r:id="rId9"/>
      <w:pgSz w:w="12240" w:h="15840"/>
      <w:pgMar w:top="241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126C8D" w14:textId="77777777" w:rsidR="00DD14FC" w:rsidRDefault="00DD14FC">
      <w:pPr>
        <w:spacing w:after="0" w:line="240" w:lineRule="auto"/>
      </w:pPr>
      <w:r>
        <w:separator/>
      </w:r>
    </w:p>
  </w:endnote>
  <w:endnote w:type="continuationSeparator" w:id="0">
    <w:p w14:paraId="21CFD974" w14:textId="77777777" w:rsidR="00DD14FC" w:rsidRDefault="00DD14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Light">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A0BEFF" w14:textId="77777777" w:rsidR="00DD14FC" w:rsidRDefault="00DD14FC">
      <w:pPr>
        <w:spacing w:after="0" w:line="240" w:lineRule="auto"/>
      </w:pPr>
      <w:r>
        <w:separator/>
      </w:r>
    </w:p>
  </w:footnote>
  <w:footnote w:type="continuationSeparator" w:id="0">
    <w:p w14:paraId="2AC98C0A" w14:textId="77777777" w:rsidR="00DD14FC" w:rsidRDefault="00DD14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F7D4A" w14:textId="77777777" w:rsidR="00F23A2A" w:rsidRDefault="00F23A2A" w:rsidP="00D7342B">
    <w:pPr>
      <w:pStyle w:val="Encabezado"/>
      <w:ind w:left="-284"/>
    </w:pPr>
    <w:r>
      <w:rPr>
        <w:noProof/>
        <w:lang w:val="en-US"/>
      </w:rPr>
      <w:drawing>
        <wp:anchor distT="0" distB="0" distL="114300" distR="114300" simplePos="0" relativeHeight="251660288" behindDoc="0" locked="0" layoutInCell="1" allowOverlap="1" wp14:anchorId="4EE16F0D" wp14:editId="396E19CB">
          <wp:simplePos x="0" y="0"/>
          <wp:positionH relativeFrom="column">
            <wp:posOffset>-228600</wp:posOffset>
          </wp:positionH>
          <wp:positionV relativeFrom="paragraph">
            <wp:posOffset>525780</wp:posOffset>
          </wp:positionV>
          <wp:extent cx="4377055" cy="450850"/>
          <wp:effectExtent l="0" t="0" r="0" b="0"/>
          <wp:wrapSquare wrapText="bothSides"/>
          <wp:docPr id="126351768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4FE052F1" wp14:editId="6BDACB5A">
          <wp:simplePos x="0" y="0"/>
          <wp:positionH relativeFrom="page">
            <wp:align>right</wp:align>
          </wp:positionH>
          <wp:positionV relativeFrom="paragraph">
            <wp:posOffset>-697230</wp:posOffset>
          </wp:positionV>
          <wp:extent cx="7772189" cy="10296525"/>
          <wp:effectExtent l="0" t="0" r="635" b="0"/>
          <wp:wrapNone/>
          <wp:docPr id="1602702133" name="Imagen 1602702133"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F122F8A"/>
    <w:multiLevelType w:val="hybridMultilevel"/>
    <w:tmpl w:val="0AFCC7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36215767">
    <w:abstractNumId w:val="2"/>
  </w:num>
  <w:num w:numId="2" w16cid:durableId="2080128835">
    <w:abstractNumId w:val="0"/>
  </w:num>
  <w:num w:numId="3" w16cid:durableId="52895165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3A2A"/>
    <w:rsid w:val="0019025F"/>
    <w:rsid w:val="00352D77"/>
    <w:rsid w:val="00515A2E"/>
    <w:rsid w:val="0066558B"/>
    <w:rsid w:val="006C1F7B"/>
    <w:rsid w:val="006E2541"/>
    <w:rsid w:val="009C1FD5"/>
    <w:rsid w:val="00A90614"/>
    <w:rsid w:val="00AD5DCD"/>
    <w:rsid w:val="00B5061E"/>
    <w:rsid w:val="00D2401A"/>
    <w:rsid w:val="00D82B26"/>
    <w:rsid w:val="00DD14FC"/>
    <w:rsid w:val="00F23A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C7D8E"/>
  <w15:chartTrackingRefBased/>
  <w15:docId w15:val="{63D6F5F4-352F-4321-B885-1B91A3A19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3A2A"/>
    <w:pPr>
      <w:spacing w:after="200" w:line="276" w:lineRule="auto"/>
    </w:pPr>
    <w:rPr>
      <w:rFonts w:ascii="Calibri" w:eastAsia="Calibri" w:hAnsi="Calibri" w:cs="Times New Roman"/>
      <w:kern w:val="0"/>
      <w14:ligatures w14:val="none"/>
    </w:rPr>
  </w:style>
  <w:style w:type="paragraph" w:styleId="Ttulo1">
    <w:name w:val="heading 1"/>
    <w:basedOn w:val="Normal"/>
    <w:next w:val="Normal"/>
    <w:link w:val="Ttulo1Car"/>
    <w:uiPriority w:val="9"/>
    <w:qFormat/>
    <w:rsid w:val="00F23A2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23A2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23A2A"/>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23A2A"/>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23A2A"/>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23A2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23A2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23A2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23A2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23A2A"/>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23A2A"/>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23A2A"/>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23A2A"/>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23A2A"/>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23A2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23A2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23A2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23A2A"/>
    <w:rPr>
      <w:rFonts w:eastAsiaTheme="majorEastAsia" w:cstheme="majorBidi"/>
      <w:color w:val="272727" w:themeColor="text1" w:themeTint="D8"/>
    </w:rPr>
  </w:style>
  <w:style w:type="paragraph" w:styleId="Ttulo">
    <w:name w:val="Title"/>
    <w:basedOn w:val="Normal"/>
    <w:next w:val="Normal"/>
    <w:link w:val="TtuloCar"/>
    <w:uiPriority w:val="10"/>
    <w:qFormat/>
    <w:rsid w:val="00F23A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23A2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23A2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23A2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23A2A"/>
    <w:pPr>
      <w:spacing w:before="160"/>
      <w:jc w:val="center"/>
    </w:pPr>
    <w:rPr>
      <w:i/>
      <w:iCs/>
      <w:color w:val="404040" w:themeColor="text1" w:themeTint="BF"/>
    </w:rPr>
  </w:style>
  <w:style w:type="character" w:customStyle="1" w:styleId="CitaCar">
    <w:name w:val="Cita Car"/>
    <w:basedOn w:val="Fuentedeprrafopredeter"/>
    <w:link w:val="Cita"/>
    <w:uiPriority w:val="29"/>
    <w:rsid w:val="00F23A2A"/>
    <w:rPr>
      <w:i/>
      <w:iCs/>
      <w:color w:val="404040" w:themeColor="text1" w:themeTint="BF"/>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F23A2A"/>
    <w:pPr>
      <w:ind w:left="720"/>
      <w:contextualSpacing/>
    </w:pPr>
  </w:style>
  <w:style w:type="character" w:styleId="nfasisintenso">
    <w:name w:val="Intense Emphasis"/>
    <w:basedOn w:val="Fuentedeprrafopredeter"/>
    <w:uiPriority w:val="21"/>
    <w:qFormat/>
    <w:rsid w:val="00F23A2A"/>
    <w:rPr>
      <w:i/>
      <w:iCs/>
      <w:color w:val="0F4761" w:themeColor="accent1" w:themeShade="BF"/>
    </w:rPr>
  </w:style>
  <w:style w:type="paragraph" w:styleId="Citadestacada">
    <w:name w:val="Intense Quote"/>
    <w:basedOn w:val="Normal"/>
    <w:next w:val="Normal"/>
    <w:link w:val="CitadestacadaCar"/>
    <w:uiPriority w:val="30"/>
    <w:qFormat/>
    <w:rsid w:val="00F23A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23A2A"/>
    <w:rPr>
      <w:i/>
      <w:iCs/>
      <w:color w:val="0F4761" w:themeColor="accent1" w:themeShade="BF"/>
    </w:rPr>
  </w:style>
  <w:style w:type="character" w:styleId="Referenciaintensa">
    <w:name w:val="Intense Reference"/>
    <w:basedOn w:val="Fuentedeprrafopredeter"/>
    <w:uiPriority w:val="32"/>
    <w:qFormat/>
    <w:rsid w:val="00F23A2A"/>
    <w:rPr>
      <w:b/>
      <w:bCs/>
      <w:smallCaps/>
      <w:color w:val="0F4761" w:themeColor="accent1" w:themeShade="BF"/>
      <w:spacing w:val="5"/>
    </w:rPr>
  </w:style>
  <w:style w:type="paragraph" w:styleId="Encabezado">
    <w:name w:val="header"/>
    <w:basedOn w:val="Normal"/>
    <w:link w:val="EncabezadoCar"/>
    <w:uiPriority w:val="99"/>
    <w:unhideWhenUsed/>
    <w:rsid w:val="00F23A2A"/>
    <w:pPr>
      <w:tabs>
        <w:tab w:val="center" w:pos="4153"/>
        <w:tab w:val="right" w:pos="8306"/>
      </w:tabs>
    </w:pPr>
  </w:style>
  <w:style w:type="character" w:customStyle="1" w:styleId="EncabezadoCar">
    <w:name w:val="Encabezado Car"/>
    <w:basedOn w:val="Fuentedeprrafopredeter"/>
    <w:link w:val="Encabezado"/>
    <w:uiPriority w:val="99"/>
    <w:rsid w:val="00F23A2A"/>
    <w:rPr>
      <w:rFonts w:ascii="Calibri" w:eastAsia="Calibri" w:hAnsi="Calibri" w:cs="Times New Roman"/>
      <w:kern w:val="0"/>
      <w14:ligatures w14:val="non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F23A2A"/>
  </w:style>
  <w:style w:type="character" w:styleId="Hipervnculo">
    <w:name w:val="Hyperlink"/>
    <w:basedOn w:val="Fuentedeprrafopredeter"/>
    <w:uiPriority w:val="99"/>
    <w:unhideWhenUsed/>
    <w:rsid w:val="00A90614"/>
    <w:rPr>
      <w:color w:val="467886" w:themeColor="hyperlink"/>
      <w:u w:val="single"/>
    </w:rPr>
  </w:style>
  <w:style w:type="character" w:styleId="Mencinsinresolver">
    <w:name w:val="Unresolved Mention"/>
    <w:basedOn w:val="Fuentedeprrafopredeter"/>
    <w:uiPriority w:val="99"/>
    <w:semiHidden/>
    <w:unhideWhenUsed/>
    <w:rsid w:val="00A906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77c70312-c2de-47df-bf2e-c5acb3a21bc9" TargetMode="External"/><Relationship Id="rId3" Type="http://schemas.openxmlformats.org/officeDocument/2006/relationships/settings" Target="settings.xml"/><Relationship Id="rId7" Type="http://schemas.openxmlformats.org/officeDocument/2006/relationships/hyperlink" Target="https://drive.google.com/drive/folders/1BfOl5w8TrI5ZhaHaC2KEVLIV5azbtks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737</Words>
  <Characters>4056</Characters>
  <Application>Microsoft Office Word</Application>
  <DocSecurity>0</DocSecurity>
  <Lines>33</Lines>
  <Paragraphs>9</Paragraphs>
  <ScaleCrop>false</ScaleCrop>
  <Company/>
  <LinksUpToDate>false</LinksUpToDate>
  <CharactersWithSpaces>4784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2024-10-16T21:02:00Z</dcterms:created>
  <dcterms:modified xsi:type="dcterms:W3CDTF">2024-10-16T21:02:00Z</dcterms:modified>
</cp:coreProperties>
</file>