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EE42" w14:textId="77777777" w:rsidR="00B105D2" w:rsidRDefault="00B105D2">
      <w:pPr>
        <w:pStyle w:val="normal1"/>
        <w:shd w:val="clear" w:color="auto" w:fill="FFFFFF" w:themeFill="background1"/>
        <w:spacing w:after="240"/>
        <w:contextualSpacing/>
        <w:jc w:val="right"/>
        <w:rPr>
          <w:color w:val="000000"/>
        </w:rPr>
      </w:pPr>
    </w:p>
    <w:p w14:paraId="3BCDABD2" w14:textId="1E679D80" w:rsidR="00B105D2" w:rsidRDefault="00C5407F">
      <w:pPr>
        <w:pStyle w:val="normal1"/>
        <w:shd w:val="clear" w:color="auto" w:fill="FFFFFF" w:themeFill="background1"/>
        <w:spacing w:after="240"/>
        <w:contextualSpacing/>
        <w:jc w:val="right"/>
        <w:rPr>
          <w:color w:val="000000"/>
        </w:rPr>
      </w:pPr>
      <w:r>
        <w:rPr>
          <w:color w:val="000000"/>
        </w:rPr>
        <w:t>BOLETÍN CONJUNTO</w:t>
      </w:r>
    </w:p>
    <w:p w14:paraId="5C456FB4" w14:textId="375B51D9" w:rsidR="00B105D2" w:rsidRDefault="00C5407F">
      <w:pPr>
        <w:pStyle w:val="normal1"/>
        <w:shd w:val="clear" w:color="auto" w:fill="FFFFFF" w:themeFill="background1"/>
        <w:spacing w:after="240"/>
        <w:contextualSpacing/>
        <w:jc w:val="right"/>
        <w:rPr>
          <w:rFonts w:ascii="Noto Sans" w:eastAsia="Noto Sans" w:hAnsi="Noto Sans" w:cs="Noto Sans"/>
          <w:color w:val="000000"/>
          <w:sz w:val="20"/>
          <w:szCs w:val="20"/>
          <w:lang w:val="es-MX"/>
        </w:rPr>
      </w:pPr>
      <w:r>
        <w:rPr>
          <w:rFonts w:ascii="Noto Sans" w:eastAsia="Noto Sans" w:hAnsi="Noto Sans" w:cs="Noto Sans"/>
          <w:color w:val="000000"/>
          <w:sz w:val="20"/>
          <w:szCs w:val="20"/>
          <w:lang w:val="es-MX"/>
        </w:rPr>
        <w:t>Ciudad de México, 13 de agosto de 2025</w:t>
      </w:r>
    </w:p>
    <w:p w14:paraId="2849ED42" w14:textId="7E026235" w:rsidR="004B2BB2" w:rsidRDefault="004B2BB2">
      <w:pPr>
        <w:pStyle w:val="normal1"/>
        <w:shd w:val="clear" w:color="auto" w:fill="FFFFFF" w:themeFill="background1"/>
        <w:spacing w:after="240"/>
        <w:contextualSpacing/>
        <w:jc w:val="right"/>
        <w:rPr>
          <w:color w:val="000000"/>
        </w:rPr>
      </w:pPr>
      <w:r>
        <w:rPr>
          <w:rFonts w:ascii="Noto Sans" w:eastAsia="Noto Sans" w:hAnsi="Noto Sans" w:cs="Noto Sans"/>
          <w:color w:val="000000"/>
          <w:sz w:val="20"/>
          <w:szCs w:val="20"/>
          <w:lang w:val="es-MX"/>
        </w:rPr>
        <w:t>No. 407/2025</w:t>
      </w:r>
    </w:p>
    <w:p w14:paraId="6EDB331D" w14:textId="77777777" w:rsidR="00B105D2" w:rsidRDefault="00B105D2">
      <w:pPr>
        <w:pStyle w:val="normal1"/>
        <w:shd w:val="clear" w:color="auto" w:fill="FFFFFF" w:themeFill="background1"/>
        <w:spacing w:after="240"/>
        <w:contextualSpacing/>
        <w:jc w:val="right"/>
        <w:rPr>
          <w:color w:val="000000"/>
        </w:rPr>
      </w:pPr>
    </w:p>
    <w:p w14:paraId="6A44E0DC" w14:textId="77777777" w:rsidR="00B105D2" w:rsidRDefault="00C5407F">
      <w:pPr>
        <w:jc w:val="center"/>
        <w:rPr>
          <w:rFonts w:ascii="Noto Sans" w:hAnsi="Noto Sans"/>
          <w:sz w:val="36"/>
          <w:szCs w:val="36"/>
        </w:rPr>
      </w:pPr>
      <w:r>
        <w:rPr>
          <w:rFonts w:ascii="Noto Sans" w:eastAsia="Noto Sans" w:hAnsi="Noto Sans" w:cs="Noto Sans"/>
          <w:b/>
          <w:sz w:val="36"/>
          <w:szCs w:val="36"/>
        </w:rPr>
        <w:t xml:space="preserve">INICIAN LAS FUNCIONES DE LOS 100 PROYECTOS SELECCIONADOS EN LA CONVOCATORIA NACIONAL </w:t>
      </w:r>
      <w:r>
        <w:rPr>
          <w:rFonts w:ascii="Noto Sans" w:eastAsia="Noto Sans" w:hAnsi="Noto Sans" w:cs="Noto Sans"/>
          <w:b/>
          <w:i/>
          <w:sz w:val="36"/>
          <w:szCs w:val="36"/>
        </w:rPr>
        <w:t>ESCENARIOS IMSS–CULTURA 2025–2026</w:t>
      </w:r>
    </w:p>
    <w:p w14:paraId="6F73458A" w14:textId="77777777" w:rsidR="00B105D2" w:rsidRDefault="00B105D2">
      <w:pPr>
        <w:jc w:val="center"/>
        <w:rPr>
          <w:rFonts w:ascii="Noto Sans" w:eastAsia="Noto Sans" w:hAnsi="Noto Sans" w:cs="Noto Sans"/>
          <w:b/>
          <w:i/>
          <w:sz w:val="36"/>
          <w:szCs w:val="36"/>
        </w:rPr>
      </w:pPr>
    </w:p>
    <w:p w14:paraId="343FB55F" w14:textId="77777777" w:rsidR="00B105D2" w:rsidRDefault="00B105D2">
      <w:pPr>
        <w:jc w:val="both"/>
        <w:rPr>
          <w:rFonts w:ascii="Noto Sans" w:eastAsia="Noto Sans" w:hAnsi="Noto Sans" w:cs="Noto Sans"/>
        </w:rPr>
      </w:pPr>
    </w:p>
    <w:p w14:paraId="0B1DC945" w14:textId="77777777" w:rsidR="00B105D2" w:rsidRDefault="00C5407F">
      <w:pPr>
        <w:numPr>
          <w:ilvl w:val="0"/>
          <w:numId w:val="1"/>
        </w:numPr>
        <w:jc w:val="both"/>
        <w:rPr>
          <w:rFonts w:ascii="Noto Sans" w:hAnsi="Noto Sans"/>
          <w:sz w:val="24"/>
          <w:szCs w:val="24"/>
        </w:rPr>
      </w:pPr>
      <w:r>
        <w:rPr>
          <w:rFonts w:ascii="Noto Sans" w:eastAsia="Noto Sans" w:hAnsi="Noto Sans" w:cs="Noto Sans"/>
          <w:bCs/>
          <w:sz w:val="24"/>
          <w:szCs w:val="24"/>
        </w:rPr>
        <w:t>La convocatoria Escenarios IMSS–CULTURA destina 30 millones de pesos a la creación escénica independiente y recupera la vocación social de los teatros emblemáticos del IMSS</w:t>
      </w:r>
    </w:p>
    <w:p w14:paraId="10BF01AF" w14:textId="77777777" w:rsidR="00B105D2" w:rsidRDefault="00C5407F">
      <w:pPr>
        <w:numPr>
          <w:ilvl w:val="0"/>
          <w:numId w:val="1"/>
        </w:numPr>
        <w:jc w:val="both"/>
        <w:rPr>
          <w:rFonts w:ascii="Noto Sans" w:hAnsi="Noto Sans"/>
          <w:sz w:val="24"/>
          <w:szCs w:val="24"/>
        </w:rPr>
      </w:pPr>
      <w:r>
        <w:rPr>
          <w:rFonts w:ascii="Noto Sans" w:eastAsia="Noto Sans" w:hAnsi="Noto Sans" w:cs="Noto Sans"/>
          <w:bCs/>
          <w:color w:val="000000"/>
          <w:sz w:val="24"/>
          <w:szCs w:val="24"/>
        </w:rPr>
        <w:t>El ciclo esc</w:t>
      </w:r>
      <w:r>
        <w:rPr>
          <w:rFonts w:ascii="Noto Sans" w:eastAsia="Noto Sans" w:hAnsi="Noto Sans" w:cs="Noto Sans"/>
          <w:bCs/>
          <w:sz w:val="24"/>
          <w:szCs w:val="24"/>
        </w:rPr>
        <w:t>énico comienza</w:t>
      </w:r>
      <w:r>
        <w:rPr>
          <w:rFonts w:ascii="Noto Sans" w:eastAsia="Noto Sans" w:hAnsi="Noto Sans" w:cs="Noto Sans"/>
          <w:bCs/>
          <w:color w:val="000000"/>
          <w:sz w:val="24"/>
          <w:szCs w:val="24"/>
        </w:rPr>
        <w:t xml:space="preserve"> el 19 de agosto con </w:t>
      </w:r>
      <w:r>
        <w:rPr>
          <w:rFonts w:ascii="Noto Sans" w:eastAsia="Noto Sans" w:hAnsi="Noto Sans" w:cs="Noto Sans"/>
          <w:bCs/>
          <w:i/>
          <w:color w:val="000000"/>
          <w:sz w:val="24"/>
          <w:szCs w:val="24"/>
        </w:rPr>
        <w:t>La obra de Bottom</w:t>
      </w:r>
      <w:r>
        <w:rPr>
          <w:rFonts w:ascii="Noto Sans" w:eastAsia="Noto Sans" w:hAnsi="Noto Sans" w:cs="Noto Sans"/>
          <w:bCs/>
          <w:color w:val="000000"/>
          <w:sz w:val="24"/>
          <w:szCs w:val="24"/>
        </w:rPr>
        <w:t>, pieza colectiva que se presentar</w:t>
      </w:r>
      <w:r>
        <w:rPr>
          <w:rFonts w:ascii="Noto Sans" w:eastAsia="Noto Sans" w:hAnsi="Noto Sans" w:cs="Noto Sans"/>
          <w:bCs/>
          <w:sz w:val="24"/>
          <w:szCs w:val="24"/>
        </w:rPr>
        <w:t xml:space="preserve">á </w:t>
      </w:r>
      <w:r>
        <w:rPr>
          <w:rFonts w:ascii="Noto Sans" w:eastAsia="Noto Sans" w:hAnsi="Noto Sans" w:cs="Noto Sans"/>
          <w:bCs/>
          <w:color w:val="000000"/>
          <w:sz w:val="24"/>
          <w:szCs w:val="24"/>
        </w:rPr>
        <w:t>en el Teatro Independencia, localizad</w:t>
      </w:r>
      <w:r>
        <w:rPr>
          <w:rFonts w:ascii="Noto Sans" w:eastAsia="Noto Sans" w:hAnsi="Noto Sans" w:cs="Noto Sans"/>
          <w:bCs/>
          <w:sz w:val="24"/>
          <w:szCs w:val="24"/>
        </w:rPr>
        <w:t>o</w:t>
      </w:r>
      <w:r>
        <w:rPr>
          <w:rFonts w:ascii="Noto Sans" w:eastAsia="Noto Sans" w:hAnsi="Noto Sans" w:cs="Noto Sans"/>
          <w:bCs/>
          <w:color w:val="000000"/>
          <w:sz w:val="24"/>
          <w:szCs w:val="24"/>
        </w:rPr>
        <w:t xml:space="preserve"> </w:t>
      </w:r>
      <w:r>
        <w:rPr>
          <w:rFonts w:ascii="Noto Sans" w:eastAsia="Noto Sans" w:hAnsi="Noto Sans" w:cs="Noto Sans"/>
          <w:bCs/>
          <w:sz w:val="24"/>
          <w:szCs w:val="24"/>
        </w:rPr>
        <w:t xml:space="preserve">en </w:t>
      </w:r>
      <w:r>
        <w:rPr>
          <w:rFonts w:ascii="Noto Sans" w:eastAsia="Noto Sans" w:hAnsi="Noto Sans" w:cs="Noto Sans"/>
          <w:bCs/>
          <w:color w:val="000000"/>
          <w:sz w:val="24"/>
          <w:szCs w:val="24"/>
        </w:rPr>
        <w:t>San Jerónimo</w:t>
      </w:r>
      <w:r>
        <w:rPr>
          <w:rFonts w:ascii="Noto Sans" w:eastAsia="Noto Sans" w:hAnsi="Noto Sans" w:cs="Noto Sans"/>
          <w:bCs/>
          <w:sz w:val="24"/>
          <w:szCs w:val="24"/>
        </w:rPr>
        <w:t xml:space="preserve">, </w:t>
      </w:r>
      <w:r>
        <w:rPr>
          <w:rFonts w:ascii="Noto Sans" w:eastAsia="Noto Sans" w:hAnsi="Noto Sans" w:cs="Noto Sans"/>
          <w:bCs/>
          <w:color w:val="000000"/>
          <w:sz w:val="24"/>
          <w:szCs w:val="24"/>
        </w:rPr>
        <w:t xml:space="preserve">Ciudad de México </w:t>
      </w:r>
    </w:p>
    <w:p w14:paraId="0AB05119" w14:textId="77777777" w:rsidR="00B105D2" w:rsidRDefault="00C5407F">
      <w:pPr>
        <w:numPr>
          <w:ilvl w:val="0"/>
          <w:numId w:val="1"/>
        </w:numPr>
        <w:jc w:val="both"/>
        <w:rPr>
          <w:rFonts w:ascii="Noto Sans" w:hAnsi="Noto Sans"/>
          <w:sz w:val="24"/>
          <w:szCs w:val="24"/>
        </w:rPr>
      </w:pPr>
      <w:r>
        <w:rPr>
          <w:rFonts w:ascii="Noto Sans" w:eastAsia="Noto Sans" w:hAnsi="Noto Sans" w:cs="Noto Sans"/>
          <w:bCs/>
          <w:color w:val="000000"/>
          <w:sz w:val="24"/>
          <w:szCs w:val="24"/>
        </w:rPr>
        <w:t>Las funciones de los proyectos seleccionados, con propuestas provenientes de 28 entidades del país, se presenta</w:t>
      </w:r>
      <w:r>
        <w:rPr>
          <w:rFonts w:ascii="Noto Sans" w:eastAsia="Noto Sans" w:hAnsi="Noto Sans" w:cs="Noto Sans"/>
          <w:bCs/>
          <w:sz w:val="24"/>
          <w:szCs w:val="24"/>
        </w:rPr>
        <w:t>n</w:t>
      </w:r>
      <w:r>
        <w:rPr>
          <w:rFonts w:ascii="Noto Sans" w:eastAsia="Noto Sans" w:hAnsi="Noto Sans" w:cs="Noto Sans"/>
          <w:bCs/>
          <w:color w:val="000000"/>
          <w:sz w:val="24"/>
          <w:szCs w:val="24"/>
        </w:rPr>
        <w:t xml:space="preserve"> en 25 teatros del IMSS</w:t>
      </w:r>
      <w:r>
        <w:rPr>
          <w:rFonts w:ascii="Noto Sans" w:eastAsia="Noto Sans" w:hAnsi="Noto Sans" w:cs="Noto Sans"/>
          <w:bCs/>
          <w:sz w:val="24"/>
          <w:szCs w:val="24"/>
        </w:rPr>
        <w:t>, con acceso gratuito</w:t>
      </w:r>
    </w:p>
    <w:p w14:paraId="2923DA3D" w14:textId="77777777" w:rsidR="00B105D2" w:rsidRDefault="00B105D2">
      <w:pPr>
        <w:ind w:left="1080"/>
        <w:jc w:val="both"/>
        <w:rPr>
          <w:rFonts w:ascii="Noto Sans" w:eastAsia="Noto Sans" w:hAnsi="Noto Sans" w:cs="Noto Sans"/>
          <w:bCs/>
          <w:sz w:val="24"/>
          <w:szCs w:val="24"/>
        </w:rPr>
      </w:pPr>
    </w:p>
    <w:p w14:paraId="5F782BCD" w14:textId="77777777" w:rsidR="00B105D2" w:rsidRDefault="00B105D2">
      <w:pPr>
        <w:jc w:val="both"/>
        <w:rPr>
          <w:rFonts w:ascii="Noto Sans" w:eastAsia="Noto Sans" w:hAnsi="Noto Sans" w:cs="Noto Sans"/>
          <w:sz w:val="24"/>
          <w:szCs w:val="24"/>
        </w:rPr>
      </w:pPr>
    </w:p>
    <w:p w14:paraId="203548EB" w14:textId="77777777" w:rsidR="00B105D2" w:rsidRDefault="00C5407F">
      <w:pPr>
        <w:jc w:val="both"/>
        <w:rPr>
          <w:rFonts w:ascii="Noto Sans" w:hAnsi="Noto Sans"/>
          <w:sz w:val="24"/>
          <w:szCs w:val="24"/>
        </w:rPr>
      </w:pPr>
      <w:r>
        <w:rPr>
          <w:rFonts w:ascii="Noto Sans" w:eastAsia="Noto Sans" w:hAnsi="Noto Sans" w:cs="Noto Sans"/>
          <w:sz w:val="24"/>
          <w:szCs w:val="24"/>
        </w:rPr>
        <w:t xml:space="preserve">El Instituto Mexicano del Seguro Social (IMSS) y la Secretaría de Cultura del Gobierno de México, a través del Instituto Nacional de Bellas Artes y Literatura (INBAL), comienzan el ciclo de funciones de la Convocatoria Nacional </w:t>
      </w:r>
      <w:r>
        <w:rPr>
          <w:rFonts w:ascii="Noto Sans" w:eastAsia="Noto Sans" w:hAnsi="Noto Sans" w:cs="Noto Sans"/>
          <w:i/>
          <w:sz w:val="24"/>
          <w:szCs w:val="24"/>
        </w:rPr>
        <w:t>Escenarios IMSS–CULTURA 2025–2026</w:t>
      </w:r>
      <w:r>
        <w:rPr>
          <w:rFonts w:ascii="Noto Sans" w:eastAsia="Noto Sans" w:hAnsi="Noto Sans" w:cs="Noto Sans"/>
          <w:sz w:val="24"/>
          <w:szCs w:val="24"/>
        </w:rPr>
        <w:t xml:space="preserve">, con </w:t>
      </w:r>
      <w:r>
        <w:rPr>
          <w:rFonts w:ascii="Noto Sans" w:eastAsia="Noto Sans" w:hAnsi="Noto Sans" w:cs="Noto Sans"/>
          <w:i/>
          <w:sz w:val="24"/>
          <w:szCs w:val="24"/>
        </w:rPr>
        <w:t>La obra de Bottom</w:t>
      </w:r>
      <w:r>
        <w:rPr>
          <w:rFonts w:ascii="Noto Sans" w:eastAsia="Noto Sans" w:hAnsi="Noto Sans" w:cs="Noto Sans"/>
          <w:sz w:val="24"/>
          <w:szCs w:val="24"/>
        </w:rPr>
        <w:t>.</w:t>
      </w:r>
    </w:p>
    <w:p w14:paraId="373B12FF" w14:textId="77777777" w:rsidR="00B105D2" w:rsidRDefault="00B105D2">
      <w:pPr>
        <w:jc w:val="both"/>
        <w:rPr>
          <w:rFonts w:ascii="Noto Sans" w:eastAsia="Noto Sans" w:hAnsi="Noto Sans" w:cs="Noto Sans"/>
          <w:sz w:val="24"/>
          <w:szCs w:val="24"/>
        </w:rPr>
      </w:pPr>
    </w:p>
    <w:p w14:paraId="7054A03E" w14:textId="77777777" w:rsidR="00B105D2" w:rsidRDefault="00C5407F">
      <w:pPr>
        <w:jc w:val="both"/>
        <w:rPr>
          <w:rFonts w:ascii="Noto Sans" w:hAnsi="Noto Sans"/>
          <w:sz w:val="24"/>
          <w:szCs w:val="24"/>
        </w:rPr>
      </w:pPr>
      <w:r>
        <w:rPr>
          <w:rFonts w:ascii="Noto Sans" w:eastAsia="Noto Sans" w:hAnsi="Noto Sans" w:cs="Noto Sans"/>
          <w:sz w:val="24"/>
          <w:szCs w:val="24"/>
          <w:highlight w:val="white"/>
        </w:rPr>
        <w:t>La Convocatoria Nacional</w:t>
      </w:r>
      <w:r>
        <w:rPr>
          <w:rFonts w:ascii="Noto Sans" w:eastAsia="Noto Sans" w:hAnsi="Noto Sans" w:cs="Noto Sans"/>
          <w:i/>
          <w:sz w:val="24"/>
          <w:szCs w:val="24"/>
          <w:highlight w:val="white"/>
        </w:rPr>
        <w:t xml:space="preserve"> Escenarios IMSS-CULTURA 2025-2026</w:t>
      </w:r>
      <w:r>
        <w:rPr>
          <w:rFonts w:ascii="Noto Sans" w:eastAsia="Noto Sans" w:hAnsi="Noto Sans" w:cs="Noto Sans"/>
          <w:sz w:val="24"/>
          <w:szCs w:val="24"/>
          <w:highlight w:val="white"/>
        </w:rPr>
        <w:t xml:space="preserve"> destina 30 millones de pesos a la creación escénica independiente; es una iniciativa del Gobierno de México para fortalecer los apoyos a la creación y revitalizar la vocación social de los emblemáticos teatros del IMSS.</w:t>
      </w:r>
    </w:p>
    <w:p w14:paraId="79946208" w14:textId="77777777" w:rsidR="00B105D2" w:rsidRDefault="00B105D2">
      <w:pPr>
        <w:jc w:val="both"/>
        <w:rPr>
          <w:rFonts w:ascii="Noto Sans" w:eastAsia="Noto Sans" w:hAnsi="Noto Sans" w:cs="Noto Sans"/>
          <w:sz w:val="24"/>
          <w:szCs w:val="24"/>
          <w:highlight w:val="white"/>
        </w:rPr>
      </w:pPr>
    </w:p>
    <w:p w14:paraId="4C81C252" w14:textId="77777777" w:rsidR="00B105D2" w:rsidRDefault="00C5407F">
      <w:pPr>
        <w:jc w:val="both"/>
        <w:rPr>
          <w:rFonts w:ascii="Noto Sans" w:hAnsi="Noto Sans"/>
          <w:sz w:val="24"/>
          <w:szCs w:val="24"/>
        </w:rPr>
      </w:pPr>
      <w:r>
        <w:rPr>
          <w:rFonts w:ascii="Noto Sans" w:eastAsia="Noto Sans" w:hAnsi="Noto Sans" w:cs="Noto Sans"/>
          <w:sz w:val="24"/>
          <w:szCs w:val="24"/>
        </w:rPr>
        <w:t>De los 100 proyectos seleccionados a través del certamen –provenientes de 28 estados de la República Mexicana–, 36 propuestas corresponden a danza y 64 a teatro, cada una de las cuales recibirá $300,000.00 (trescientos mil pesos) para la presentación de seis funciones en dos espacios escénicos del IMSS distribuidos en siete regiones del país.</w:t>
      </w:r>
    </w:p>
    <w:p w14:paraId="29088F8B" w14:textId="77777777" w:rsidR="00B105D2" w:rsidRDefault="00B105D2">
      <w:pPr>
        <w:jc w:val="both"/>
        <w:rPr>
          <w:rFonts w:ascii="Noto Sans" w:eastAsia="Noto Sans" w:hAnsi="Noto Sans" w:cs="Noto Sans"/>
          <w:sz w:val="24"/>
          <w:szCs w:val="24"/>
        </w:rPr>
      </w:pPr>
    </w:p>
    <w:p w14:paraId="48779379" w14:textId="77777777" w:rsidR="00B105D2" w:rsidRDefault="00C5407F">
      <w:pPr>
        <w:jc w:val="both"/>
        <w:rPr>
          <w:rFonts w:ascii="Noto Sans" w:hAnsi="Noto Sans"/>
          <w:sz w:val="24"/>
          <w:szCs w:val="24"/>
        </w:rPr>
      </w:pPr>
      <w:r>
        <w:rPr>
          <w:rFonts w:ascii="Noto Sans" w:eastAsia="Noto Sans" w:hAnsi="Noto Sans" w:cs="Noto Sans"/>
          <w:sz w:val="24"/>
          <w:szCs w:val="24"/>
        </w:rPr>
        <w:t xml:space="preserve">Las presentaciones, que forman del programa </w:t>
      </w:r>
      <w:r>
        <w:rPr>
          <w:rFonts w:ascii="Noto Sans" w:eastAsia="Noto Sans" w:hAnsi="Noto Sans" w:cs="Noto Sans"/>
          <w:i/>
          <w:sz w:val="24"/>
          <w:szCs w:val="24"/>
        </w:rPr>
        <w:t>Escenarios IMSS-CULTURA 2025-2026,</w:t>
      </w:r>
      <w:r>
        <w:rPr>
          <w:rFonts w:ascii="Noto Sans" w:eastAsia="Noto Sans" w:hAnsi="Noto Sans" w:cs="Noto Sans"/>
          <w:sz w:val="24"/>
          <w:szCs w:val="24"/>
        </w:rPr>
        <w:t xml:space="preserve"> están dirigidas a públicos de todas las edades y se llevarán a cabo en 25 teatros de la Red Teatral del IMSS, ubicados en Aguascalientes, Baja California, Campeche, Ciudad de México, Durango, Estado de México, Guanajuato, Jalisco, Michoacán, Querétaro, San Luis Potosí, Sinaloa, Tlaxcala y Zacatecas.</w:t>
      </w:r>
    </w:p>
    <w:p w14:paraId="2E6169D7" w14:textId="77777777" w:rsidR="00B105D2" w:rsidRDefault="00B105D2">
      <w:pPr>
        <w:jc w:val="both"/>
        <w:rPr>
          <w:rFonts w:ascii="Noto Sans" w:eastAsia="Noto Sans" w:hAnsi="Noto Sans" w:cs="Noto Sans"/>
          <w:sz w:val="24"/>
          <w:szCs w:val="24"/>
        </w:rPr>
      </w:pPr>
    </w:p>
    <w:p w14:paraId="6A26319F" w14:textId="77777777" w:rsidR="00B105D2" w:rsidRDefault="00C5407F">
      <w:pPr>
        <w:jc w:val="both"/>
        <w:rPr>
          <w:rFonts w:ascii="Noto Sans" w:hAnsi="Noto Sans"/>
          <w:sz w:val="24"/>
          <w:szCs w:val="24"/>
        </w:rPr>
      </w:pPr>
      <w:r>
        <w:rPr>
          <w:rFonts w:ascii="Noto Sans" w:eastAsia="Noto Sans" w:hAnsi="Noto Sans" w:cs="Noto Sans"/>
          <w:b/>
          <w:sz w:val="24"/>
          <w:szCs w:val="24"/>
        </w:rPr>
        <w:t>Función inaugural</w:t>
      </w:r>
    </w:p>
    <w:p w14:paraId="564A9CC4" w14:textId="77777777" w:rsidR="00B105D2" w:rsidRDefault="00B105D2">
      <w:pPr>
        <w:jc w:val="both"/>
        <w:rPr>
          <w:rFonts w:ascii="Noto Sans" w:eastAsia="Noto Sans" w:hAnsi="Noto Sans" w:cs="Noto Sans"/>
          <w:sz w:val="24"/>
          <w:szCs w:val="24"/>
        </w:rPr>
      </w:pPr>
    </w:p>
    <w:p w14:paraId="076CFCA6" w14:textId="77777777" w:rsidR="00B105D2" w:rsidRDefault="00C5407F">
      <w:pPr>
        <w:jc w:val="both"/>
        <w:rPr>
          <w:rFonts w:ascii="Noto Sans" w:hAnsi="Noto Sans"/>
          <w:sz w:val="24"/>
          <w:szCs w:val="24"/>
        </w:rPr>
      </w:pPr>
      <w:r>
        <w:rPr>
          <w:rFonts w:ascii="Noto Sans" w:eastAsia="Noto Sans" w:hAnsi="Noto Sans" w:cs="Noto Sans"/>
          <w:i/>
          <w:sz w:val="24"/>
          <w:szCs w:val="24"/>
        </w:rPr>
        <w:t>La obra de Bottom</w:t>
      </w:r>
      <w:r>
        <w:rPr>
          <w:rFonts w:ascii="Noto Sans" w:eastAsia="Noto Sans" w:hAnsi="Noto Sans" w:cs="Noto Sans"/>
          <w:sz w:val="24"/>
          <w:szCs w:val="24"/>
        </w:rPr>
        <w:t xml:space="preserve"> es la encargada de abrir el ciclo el 19 de agosto a las 19:30 horas en el Teatro Independencia (ubicado en Periférico Sur 3400, Unidad Independencia, colonia San Jerónimo Lídice, en la alcaldía Magdalena Contreras de la Ciudad de México). Se trata de una creación colectiva de las compañías Brujas Producciones y La Piara, inspirada en </w:t>
      </w:r>
      <w:r>
        <w:rPr>
          <w:rFonts w:ascii="Noto Sans" w:eastAsia="Noto Sans" w:hAnsi="Noto Sans" w:cs="Noto Sans"/>
          <w:i/>
          <w:sz w:val="24"/>
          <w:szCs w:val="24"/>
        </w:rPr>
        <w:t>Sueño de una noche de verano,</w:t>
      </w:r>
      <w:r>
        <w:rPr>
          <w:rFonts w:ascii="Noto Sans" w:eastAsia="Noto Sans" w:hAnsi="Noto Sans" w:cs="Noto Sans"/>
          <w:sz w:val="24"/>
          <w:szCs w:val="24"/>
        </w:rPr>
        <w:t xml:space="preserve"> de William Shakespeare.</w:t>
      </w:r>
    </w:p>
    <w:p w14:paraId="7B251FED" w14:textId="77777777" w:rsidR="00B105D2" w:rsidRDefault="00B105D2">
      <w:pPr>
        <w:jc w:val="both"/>
        <w:rPr>
          <w:rFonts w:ascii="Noto Sans" w:eastAsia="Noto Sans" w:hAnsi="Noto Sans" w:cs="Noto Sans"/>
          <w:sz w:val="24"/>
          <w:szCs w:val="24"/>
        </w:rPr>
      </w:pPr>
    </w:p>
    <w:p w14:paraId="5A46CD11" w14:textId="77777777" w:rsidR="00B105D2" w:rsidRDefault="00C5407F">
      <w:pPr>
        <w:jc w:val="both"/>
        <w:rPr>
          <w:rFonts w:ascii="Noto Sans" w:hAnsi="Noto Sans"/>
          <w:sz w:val="24"/>
          <w:szCs w:val="24"/>
        </w:rPr>
      </w:pPr>
      <w:r>
        <w:rPr>
          <w:rFonts w:ascii="Noto Sans" w:eastAsia="Noto Sans" w:hAnsi="Noto Sans" w:cs="Noto Sans"/>
          <w:sz w:val="24"/>
          <w:szCs w:val="24"/>
        </w:rPr>
        <w:t xml:space="preserve">Dirigida por Iona Weissberg y Aline de la Cruz, con producción de Yoalli Malpica, la pieza cobra vida con las actuaciones de Artús Chávez, Jerónimo Best y Fernando Córdova Hernández, quienes interpretan a Bottom, Quince y Flute, tres actores aficionados que intentan montar una tragedia griega para presentarla en la boda de un grupo de monarcas. </w:t>
      </w:r>
    </w:p>
    <w:p w14:paraId="6935FCAF" w14:textId="77777777" w:rsidR="00B105D2" w:rsidRDefault="00B105D2">
      <w:pPr>
        <w:jc w:val="both"/>
        <w:rPr>
          <w:rFonts w:ascii="Noto Sans" w:eastAsia="Noto Sans" w:hAnsi="Noto Sans" w:cs="Noto Sans"/>
          <w:sz w:val="24"/>
          <w:szCs w:val="24"/>
        </w:rPr>
      </w:pPr>
    </w:p>
    <w:p w14:paraId="572BBAE9" w14:textId="77777777" w:rsidR="00B105D2" w:rsidRDefault="00C5407F">
      <w:pPr>
        <w:jc w:val="both"/>
        <w:rPr>
          <w:rFonts w:ascii="Noto Sans" w:hAnsi="Noto Sans"/>
          <w:sz w:val="24"/>
          <w:szCs w:val="24"/>
        </w:rPr>
      </w:pPr>
      <w:r>
        <w:rPr>
          <w:rFonts w:ascii="Noto Sans" w:eastAsia="Noto Sans" w:hAnsi="Noto Sans" w:cs="Noto Sans"/>
          <w:sz w:val="24"/>
          <w:szCs w:val="24"/>
        </w:rPr>
        <w:t xml:space="preserve">La puesta en escena también tendrá funciones el 20 y 21 de septiembre a las 18 h en el Teatro Independencia, y el 10, 11 y 12 de octubre en el Teatro Toluca, localizado en el Estado de México. </w:t>
      </w:r>
    </w:p>
    <w:p w14:paraId="43AE67B8" w14:textId="77777777" w:rsidR="00B105D2" w:rsidRDefault="00B105D2">
      <w:pPr>
        <w:jc w:val="both"/>
        <w:rPr>
          <w:rFonts w:ascii="Noto Sans" w:eastAsia="Noto Sans" w:hAnsi="Noto Sans" w:cs="Noto Sans"/>
          <w:color w:val="000000"/>
          <w:sz w:val="24"/>
          <w:szCs w:val="24"/>
          <w:highlight w:val="white"/>
        </w:rPr>
      </w:pPr>
    </w:p>
    <w:p w14:paraId="14CDC6FA" w14:textId="77777777" w:rsidR="00B105D2" w:rsidRDefault="00C5407F">
      <w:pPr>
        <w:jc w:val="both"/>
      </w:pPr>
      <w:r>
        <w:rPr>
          <w:rFonts w:ascii="Noto Sans" w:eastAsia="Noto Sans" w:hAnsi="Noto Sans" w:cs="Noto Sans"/>
          <w:color w:val="000000"/>
          <w:sz w:val="24"/>
          <w:szCs w:val="24"/>
          <w:highlight w:val="white"/>
        </w:rPr>
        <w:t>La cartelera c</w:t>
      </w:r>
      <w:r>
        <w:rPr>
          <w:rFonts w:ascii="Noto Sans" w:eastAsia="Noto Sans" w:hAnsi="Noto Sans" w:cs="Noto Sans"/>
          <w:sz w:val="24"/>
          <w:szCs w:val="24"/>
          <w:highlight w:val="white"/>
        </w:rPr>
        <w:t>ompleta</w:t>
      </w:r>
      <w:r>
        <w:rPr>
          <w:rFonts w:ascii="Noto Sans" w:eastAsia="Noto Sans" w:hAnsi="Noto Sans" w:cs="Noto Sans"/>
          <w:color w:val="000000"/>
          <w:sz w:val="24"/>
          <w:szCs w:val="24"/>
          <w:highlight w:val="white"/>
        </w:rPr>
        <w:t xml:space="preserve"> </w:t>
      </w:r>
      <w:r>
        <w:rPr>
          <w:rFonts w:ascii="Noto Sans" w:eastAsia="Noto Sans" w:hAnsi="Noto Sans" w:cs="Noto Sans"/>
          <w:sz w:val="24"/>
          <w:szCs w:val="24"/>
          <w:highlight w:val="white"/>
        </w:rPr>
        <w:t>podrá consultarse</w:t>
      </w:r>
      <w:r>
        <w:rPr>
          <w:rFonts w:ascii="Noto Sans" w:eastAsia="Noto Sans" w:hAnsi="Noto Sans" w:cs="Noto Sans"/>
          <w:color w:val="000000"/>
          <w:sz w:val="24"/>
          <w:szCs w:val="24"/>
          <w:highlight w:val="white"/>
        </w:rPr>
        <w:t xml:space="preserve"> en la página del </w:t>
      </w:r>
      <w:hyperlink r:id="rId8">
        <w:r>
          <w:rPr>
            <w:rFonts w:ascii="Noto Sans" w:eastAsia="Noto Sans" w:hAnsi="Noto Sans" w:cs="Noto Sans"/>
            <w:color w:val="0563C1"/>
            <w:sz w:val="24"/>
            <w:szCs w:val="24"/>
            <w:highlight w:val="white"/>
            <w:u w:val="single"/>
          </w:rPr>
          <w:t>IMSS</w:t>
        </w:r>
      </w:hyperlink>
      <w:r>
        <w:rPr>
          <w:rFonts w:ascii="Noto Sans" w:eastAsia="Noto Sans" w:hAnsi="Noto Sans" w:cs="Noto Sans"/>
          <w:color w:val="000000"/>
          <w:sz w:val="24"/>
          <w:szCs w:val="24"/>
          <w:highlight w:val="white"/>
        </w:rPr>
        <w:t xml:space="preserve"> y del </w:t>
      </w:r>
      <w:hyperlink r:id="rId9">
        <w:r>
          <w:rPr>
            <w:rFonts w:ascii="Noto Sans" w:eastAsia="Noto Sans" w:hAnsi="Noto Sans" w:cs="Noto Sans"/>
            <w:color w:val="0563C1"/>
            <w:sz w:val="24"/>
            <w:szCs w:val="24"/>
            <w:highlight w:val="white"/>
            <w:u w:val="single"/>
          </w:rPr>
          <w:t>INBAL</w:t>
        </w:r>
      </w:hyperlink>
      <w:r>
        <w:rPr>
          <w:rFonts w:ascii="Noto Sans" w:eastAsia="Noto Sans" w:hAnsi="Noto Sans" w:cs="Noto Sans"/>
          <w:color w:val="000000"/>
          <w:sz w:val="24"/>
          <w:szCs w:val="24"/>
          <w:highlight w:val="white"/>
        </w:rPr>
        <w:t>, así como en la página del Fideicomiso de Administración de Teatros y Salas de Espectáculos del IMSS (</w:t>
      </w:r>
      <w:hyperlink r:id="rId10">
        <w:r>
          <w:rPr>
            <w:rFonts w:ascii="Noto Sans" w:eastAsia="Noto Sans" w:hAnsi="Noto Sans" w:cs="Noto Sans"/>
            <w:color w:val="0563C1"/>
            <w:sz w:val="24"/>
            <w:szCs w:val="24"/>
            <w:highlight w:val="white"/>
            <w:u w:val="single"/>
          </w:rPr>
          <w:t>FIDTEATROS</w:t>
        </w:r>
      </w:hyperlink>
      <w:r>
        <w:rPr>
          <w:rFonts w:ascii="Noto Sans" w:eastAsia="Noto Sans" w:hAnsi="Noto Sans" w:cs="Noto Sans"/>
          <w:color w:val="000000"/>
          <w:sz w:val="24"/>
          <w:szCs w:val="24"/>
          <w:highlight w:val="white"/>
        </w:rPr>
        <w:t xml:space="preserve">). Todas las </w:t>
      </w:r>
      <w:r>
        <w:rPr>
          <w:rFonts w:ascii="Noto Sans" w:eastAsia="Noto Sans" w:hAnsi="Noto Sans" w:cs="Noto Sans"/>
          <w:sz w:val="24"/>
          <w:szCs w:val="24"/>
          <w:highlight w:val="white"/>
        </w:rPr>
        <w:t>presentaciones</w:t>
      </w:r>
      <w:r>
        <w:rPr>
          <w:rFonts w:ascii="Noto Sans" w:eastAsia="Noto Sans" w:hAnsi="Noto Sans" w:cs="Noto Sans"/>
          <w:color w:val="000000"/>
          <w:sz w:val="24"/>
          <w:szCs w:val="24"/>
          <w:highlight w:val="white"/>
        </w:rPr>
        <w:t xml:space="preserve"> del programa </w:t>
      </w:r>
      <w:r>
        <w:rPr>
          <w:rFonts w:ascii="Noto Sans" w:eastAsia="Noto Sans" w:hAnsi="Noto Sans" w:cs="Noto Sans"/>
          <w:i/>
          <w:color w:val="000000"/>
          <w:sz w:val="24"/>
          <w:szCs w:val="24"/>
          <w:highlight w:val="white"/>
        </w:rPr>
        <w:t>Escenarios IMSS-</w:t>
      </w:r>
      <w:r>
        <w:rPr>
          <w:rFonts w:ascii="Noto Sans" w:eastAsia="Noto Sans" w:hAnsi="Noto Sans" w:cs="Noto Sans"/>
          <w:i/>
          <w:sz w:val="24"/>
          <w:szCs w:val="24"/>
          <w:highlight w:val="white"/>
        </w:rPr>
        <w:t>CULTURA</w:t>
      </w:r>
      <w:r>
        <w:rPr>
          <w:rFonts w:ascii="Noto Sans" w:eastAsia="Noto Sans" w:hAnsi="Noto Sans" w:cs="Noto Sans"/>
          <w:i/>
          <w:color w:val="000000"/>
          <w:sz w:val="24"/>
          <w:szCs w:val="24"/>
          <w:highlight w:val="white"/>
        </w:rPr>
        <w:t xml:space="preserve"> 2025-2026</w:t>
      </w:r>
      <w:r>
        <w:rPr>
          <w:rFonts w:ascii="Noto Sans" w:eastAsia="Noto Sans" w:hAnsi="Noto Sans" w:cs="Noto Sans"/>
          <w:color w:val="000000"/>
          <w:sz w:val="24"/>
          <w:szCs w:val="24"/>
          <w:highlight w:val="white"/>
        </w:rPr>
        <w:t xml:space="preserve"> </w:t>
      </w:r>
      <w:r>
        <w:rPr>
          <w:rFonts w:ascii="Noto Sans" w:eastAsia="Noto Sans" w:hAnsi="Noto Sans" w:cs="Noto Sans"/>
          <w:sz w:val="24"/>
          <w:szCs w:val="24"/>
          <w:highlight w:val="white"/>
        </w:rPr>
        <w:t>son completamente gratuitas</w:t>
      </w:r>
      <w:r>
        <w:rPr>
          <w:rFonts w:ascii="Noto Sans" w:eastAsia="Noto Sans" w:hAnsi="Noto Sans" w:cs="Noto Sans"/>
          <w:color w:val="000000"/>
          <w:sz w:val="24"/>
          <w:szCs w:val="24"/>
          <w:highlight w:val="white"/>
        </w:rPr>
        <w:t>.</w:t>
      </w:r>
    </w:p>
    <w:p w14:paraId="35572316" w14:textId="77777777" w:rsidR="00B105D2" w:rsidRDefault="00B105D2">
      <w:pPr>
        <w:jc w:val="center"/>
        <w:rPr>
          <w:rFonts w:ascii="Noto Sans" w:hAnsi="Noto Sans"/>
          <w:sz w:val="24"/>
          <w:szCs w:val="24"/>
        </w:rPr>
      </w:pPr>
    </w:p>
    <w:p w14:paraId="680D0D59" w14:textId="77777777" w:rsidR="00766297" w:rsidRDefault="00766297">
      <w:pPr>
        <w:jc w:val="center"/>
        <w:rPr>
          <w:rFonts w:ascii="Noto Sans" w:hAnsi="Noto Sans"/>
          <w:sz w:val="24"/>
          <w:szCs w:val="24"/>
        </w:rPr>
      </w:pPr>
    </w:p>
    <w:p w14:paraId="5F7AC40D" w14:textId="2985C1AC" w:rsidR="00766297" w:rsidRDefault="00766297">
      <w:pPr>
        <w:jc w:val="center"/>
        <w:rPr>
          <w:rFonts w:ascii="Noto Sans" w:hAnsi="Noto Sans"/>
          <w:sz w:val="24"/>
          <w:szCs w:val="24"/>
        </w:rPr>
      </w:pPr>
      <w:r w:rsidRPr="00766297">
        <w:rPr>
          <w:rFonts w:ascii="Noto Sans" w:hAnsi="Noto Sans"/>
          <w:sz w:val="24"/>
          <w:szCs w:val="24"/>
        </w:rPr>
        <w:t>---o0o---</w:t>
      </w:r>
    </w:p>
    <w:sectPr w:rsidR="00766297">
      <w:headerReference w:type="even" r:id="rId11"/>
      <w:headerReference w:type="default" r:id="rId12"/>
      <w:footerReference w:type="even" r:id="rId13"/>
      <w:footerReference w:type="default" r:id="rId14"/>
      <w:headerReference w:type="first" r:id="rId15"/>
      <w:footerReference w:type="first" r:id="rId16"/>
      <w:pgSz w:w="12240" w:h="15840"/>
      <w:pgMar w:top="1820" w:right="1440" w:bottom="777"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8E1D" w14:textId="77777777" w:rsidR="00C5407F" w:rsidRDefault="00C5407F">
      <w:r>
        <w:separator/>
      </w:r>
    </w:p>
  </w:endnote>
  <w:endnote w:type="continuationSeparator" w:id="0">
    <w:p w14:paraId="1964B205" w14:textId="77777777" w:rsidR="00C5407F" w:rsidRDefault="00C5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Noto Sans Regular">
    <w:charset w:val="00"/>
    <w:family w:val="roman"/>
    <w:pitch w:val="variable"/>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9457" w14:textId="77777777" w:rsidR="00B105D2" w:rsidRDefault="00B105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C2E2" w14:textId="77777777" w:rsidR="00B105D2" w:rsidRDefault="00B105D2">
    <w:pPr>
      <w:pStyle w:val="normal1"/>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F644" w14:textId="77777777" w:rsidR="00B105D2" w:rsidRDefault="00B105D2">
    <w:pPr>
      <w:pStyle w:val="normal1"/>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4CCE" w14:textId="77777777" w:rsidR="00C5407F" w:rsidRDefault="00C5407F">
      <w:r>
        <w:separator/>
      </w:r>
    </w:p>
  </w:footnote>
  <w:footnote w:type="continuationSeparator" w:id="0">
    <w:p w14:paraId="4131BDC0" w14:textId="77777777" w:rsidR="00C5407F" w:rsidRDefault="00C5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23D2" w14:textId="77777777" w:rsidR="00B105D2" w:rsidRDefault="00B105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936A" w14:textId="77777777" w:rsidR="00B105D2" w:rsidRDefault="00C5407F">
    <w:pPr>
      <w:pStyle w:val="normal1"/>
      <w:tabs>
        <w:tab w:val="center" w:pos="4419"/>
        <w:tab w:val="right" w:pos="8838"/>
      </w:tabs>
      <w:rPr>
        <w:color w:val="000000"/>
      </w:rPr>
    </w:pPr>
    <w:r>
      <w:rPr>
        <w:noProof/>
        <w:color w:val="000000"/>
      </w:rPr>
      <w:drawing>
        <wp:anchor distT="0" distB="0" distL="0" distR="0" simplePos="0" relativeHeight="251657216" behindDoc="1" locked="0" layoutInCell="0" allowOverlap="1" wp14:anchorId="3645BEB2" wp14:editId="2CB193C6">
          <wp:simplePos x="0" y="0"/>
          <wp:positionH relativeFrom="column">
            <wp:posOffset>103505</wp:posOffset>
          </wp:positionH>
          <wp:positionV relativeFrom="paragraph">
            <wp:posOffset>635</wp:posOffset>
          </wp:positionV>
          <wp:extent cx="5798820" cy="87566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1051" r="1389" b="4805"/>
                  <a:stretch>
                    <a:fillRect/>
                  </a:stretch>
                </pic:blipFill>
                <pic:spPr bwMode="auto">
                  <a:xfrm>
                    <a:off x="0" y="0"/>
                    <a:ext cx="5798820" cy="8756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EAD7" w14:textId="77777777" w:rsidR="00B105D2" w:rsidRDefault="00C5407F">
    <w:pPr>
      <w:pStyle w:val="normal1"/>
      <w:tabs>
        <w:tab w:val="center" w:pos="4419"/>
        <w:tab w:val="right" w:pos="8838"/>
      </w:tabs>
      <w:rPr>
        <w:color w:val="000000"/>
      </w:rPr>
    </w:pPr>
    <w:r>
      <w:rPr>
        <w:noProof/>
        <w:color w:val="000000"/>
      </w:rPr>
      <w:drawing>
        <wp:anchor distT="0" distB="0" distL="0" distR="0" simplePos="0" relativeHeight="251658240" behindDoc="1" locked="0" layoutInCell="0" allowOverlap="1" wp14:anchorId="337ED5FE" wp14:editId="23E43A8E">
          <wp:simplePos x="0" y="0"/>
          <wp:positionH relativeFrom="column">
            <wp:posOffset>103505</wp:posOffset>
          </wp:positionH>
          <wp:positionV relativeFrom="paragraph">
            <wp:posOffset>635</wp:posOffset>
          </wp:positionV>
          <wp:extent cx="5798820" cy="875665"/>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rcRect l="1051" r="1389" b="4805"/>
                  <a:stretch>
                    <a:fillRect/>
                  </a:stretch>
                </pic:blipFill>
                <pic:spPr bwMode="auto">
                  <a:xfrm>
                    <a:off x="0" y="0"/>
                    <a:ext cx="5798820" cy="875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404"/>
    <w:multiLevelType w:val="multilevel"/>
    <w:tmpl w:val="7E7020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9735A0"/>
    <w:multiLevelType w:val="multilevel"/>
    <w:tmpl w:val="AA2A9E3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16cid:durableId="1120537097">
    <w:abstractNumId w:val="1"/>
  </w:num>
  <w:num w:numId="2" w16cid:durableId="46014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D2"/>
    <w:rsid w:val="00172697"/>
    <w:rsid w:val="004B2BB2"/>
    <w:rsid w:val="007077C6"/>
    <w:rsid w:val="00766297"/>
    <w:rsid w:val="00B105D2"/>
    <w:rsid w:val="00C540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85CE"/>
  <w15:docId w15:val="{4B4B8A81-E355-414A-A497-F82AAEED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rPr>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uiPriority w:val="9"/>
    <w:semiHidden/>
    <w:unhideWhenUsed/>
    <w:qFormat/>
    <w:pPr>
      <w:keepNext/>
      <w:keepLines/>
      <w:spacing w:before="360" w:after="80"/>
      <w:outlineLvl w:val="1"/>
    </w:pPr>
    <w:rPr>
      <w:b/>
      <w:sz w:val="36"/>
      <w:szCs w:val="3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sz w:val="24"/>
      <w:szCs w:val="24"/>
    </w:rPr>
  </w:style>
  <w:style w:type="paragraph" w:styleId="Ttulo5">
    <w:name w:val="heading 5"/>
    <w:basedOn w:val="normal1"/>
    <w:next w:val="normal1"/>
    <w:uiPriority w:val="9"/>
    <w:semiHidden/>
    <w:unhideWhenUsed/>
    <w:qFormat/>
    <w:pPr>
      <w:keepNext/>
      <w:keepLines/>
      <w:spacing w:before="220" w:after="40"/>
      <w:outlineLvl w:val="4"/>
    </w:pPr>
    <w:rPr>
      <w:b/>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032AD"/>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D032AD"/>
    <w:rPr>
      <w:rFonts w:ascii="Arial MT" w:eastAsia="Arial MT" w:hAnsi="Arial MT" w:cs="Arial MT"/>
      <w:lang w:val="es-ES"/>
    </w:rPr>
  </w:style>
  <w:style w:type="character" w:styleId="Hipervnculo">
    <w:name w:val="Hyperlink"/>
    <w:basedOn w:val="Fuentedeprrafopredeter"/>
    <w:uiPriority w:val="99"/>
    <w:unhideWhenUsed/>
    <w:rsid w:val="639CBE89"/>
    <w:rPr>
      <w:color w:val="0000FF"/>
      <w:u w:val="single"/>
    </w:rPr>
  </w:style>
  <w:style w:type="character" w:customStyle="1" w:styleId="Ninguno">
    <w:name w:val="Ninguno"/>
    <w:qFormat/>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00"/>
      <w:u w:val="single"/>
    </w:rPr>
  </w:style>
  <w:style w:type="character" w:styleId="nfasis">
    <w:name w:val="Emphasis"/>
    <w:basedOn w:val="Fuentedeprrafopredeter"/>
    <w:uiPriority w:val="20"/>
    <w:qFormat/>
    <w:rsid w:val="3511BD8F"/>
    <w:rPr>
      <w:i/>
      <w:iCs/>
    </w:rPr>
  </w:style>
  <w:style w:type="character" w:styleId="Textoennegrita">
    <w:name w:val="Strong"/>
    <w:basedOn w:val="Fuentedeprrafopredeter"/>
    <w:qFormat/>
    <w:rPr>
      <w:b/>
      <w:bCs/>
    </w:rPr>
  </w:style>
  <w:style w:type="character" w:customStyle="1" w:styleId="s2">
    <w:name w:val="s2"/>
    <w:basedOn w:val="Fuentedeprrafopredeter"/>
    <w:qFormat/>
  </w:style>
  <w:style w:type="character" w:customStyle="1" w:styleId="s1">
    <w:name w:val="s1"/>
    <w:basedOn w:val="Fuentedeprrafopredeter"/>
    <w:qFormat/>
  </w:style>
  <w:style w:type="character" w:customStyle="1" w:styleId="s3">
    <w:name w:val="s3"/>
    <w:basedOn w:val="Fuentedeprrafopredeter"/>
    <w:qFormat/>
  </w:style>
  <w:style w:type="character" w:customStyle="1" w:styleId="Smbolosdenumeracinuser">
    <w:name w:val="Símbolos de numeración (user)"/>
    <w:qFormat/>
  </w:style>
  <w:style w:type="character" w:customStyle="1" w:styleId="eop">
    <w:name w:val="eop"/>
    <w:qFormat/>
    <w:rPr>
      <w:lang w:val="pt-PT"/>
    </w:rPr>
  </w:style>
  <w:style w:type="character" w:customStyle="1" w:styleId="Enlace">
    <w:name w:val="Enlace"/>
    <w:qFormat/>
    <w:rPr>
      <w:color w:val="0563C1"/>
      <w:u w:val="single" w:color="0563C1"/>
      <w14:textOutline w14:w="0" w14:cap="rnd" w14:cmpd="sng" w14:algn="ctr">
        <w14:noFill/>
        <w14:prstDash w14:val="solid"/>
        <w14:bevel/>
      </w14:textOutline>
    </w:rPr>
  </w:style>
  <w:style w:type="character" w:customStyle="1" w:styleId="Hyperlink0">
    <w:name w:val="Hyperlink.0"/>
    <w:basedOn w:val="Enlace"/>
    <w:qFormat/>
    <w:rPr>
      <w:color w:val="000000"/>
      <w:u w:val="single" w:color="0563C1"/>
      <w14:textOutline w14:w="0" w14:cap="rnd" w14:cmpd="sng" w14:algn="ctr">
        <w14:noFill/>
        <w14:prstDash w14:val="solid"/>
        <w14:bevel/>
      </w14:textOutline>
    </w:rPr>
  </w:style>
  <w:style w:type="character" w:customStyle="1" w:styleId="Hyperlink1">
    <w:name w:val="Hyperlink.1"/>
    <w:basedOn w:val="Enlace"/>
    <w:qFormat/>
    <w:rPr>
      <w:rFonts w:ascii="Noto Sans Regular" w:eastAsia="Noto Sans Regular" w:hAnsi="Noto Sans Regular" w:cs="Noto Sans Regular"/>
      <w:color w:val="0563C1"/>
      <w:u w:val="single" w:color="0563C1"/>
      <w14:textOutline w14:w="0" w14:cap="rnd" w14:cmpd="sng" w14:algn="ctr">
        <w14:noFill/>
        <w14:prstDash w14:val="solid"/>
        <w14:bevel/>
      </w14:textOutline>
    </w:rPr>
  </w:style>
  <w:style w:type="character" w:customStyle="1" w:styleId="Hyperlink2">
    <w:name w:val="Hyperlink.2"/>
    <w:basedOn w:val="Enlace"/>
    <w:qFormat/>
    <w:rPr>
      <w:rFonts w:ascii="Noto Sans Regular" w:eastAsia="Noto Sans Regular" w:hAnsi="Noto Sans Regular" w:cs="Noto Sans Regular"/>
      <w:color w:val="000000"/>
      <w:u w:val="none" w:color="000000"/>
      <w14:textOutline w14:w="0" w14:cap="rnd" w14:cmpd="sng" w14:algn="ctr">
        <w14:noFill/>
        <w14:prstDash w14:val="solid"/>
        <w14:bevel/>
      </w14:textOutline>
    </w:rPr>
  </w:style>
  <w:style w:type="paragraph" w:styleId="Ttulo">
    <w:name w:val="Title"/>
    <w:basedOn w:val="normal1"/>
    <w:next w:val="Textoindependiente"/>
    <w:uiPriority w:val="10"/>
    <w:qFormat/>
    <w:pPr>
      <w:spacing w:before="227"/>
      <w:ind w:left="49" w:right="52"/>
      <w:jc w:val="center"/>
    </w:pPr>
    <w:rPr>
      <w:rFonts w:ascii="Verdana" w:eastAsia="Verdana" w:hAnsi="Verdana" w:cs="Verdana"/>
      <w:b/>
      <w:bCs/>
      <w:sz w:val="28"/>
      <w:szCs w:val="28"/>
    </w:rPr>
  </w:style>
  <w:style w:type="paragraph" w:styleId="Textoindependiente">
    <w:name w:val="Body Text"/>
    <w:basedOn w:val="normal1"/>
    <w:uiPriority w:val="1"/>
    <w:qFormat/>
    <w:pPr>
      <w:ind w:left="259"/>
      <w:jc w:val="both"/>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normal1">
    <w:name w:val="normal1"/>
    <w:qFormat/>
    <w:pPr>
      <w:widowControl w:val="0"/>
    </w:pPr>
  </w:style>
  <w:style w:type="paragraph" w:styleId="Prrafodelista">
    <w:name w:val="List Paragraph"/>
    <w:basedOn w:val="normal1"/>
    <w:uiPriority w:val="34"/>
    <w:qFormat/>
    <w:pPr>
      <w:ind w:left="979" w:right="256" w:hanging="360"/>
    </w:pPr>
  </w:style>
  <w:style w:type="paragraph" w:customStyle="1" w:styleId="TableParagraph">
    <w:name w:val="Table Paragraph"/>
    <w:basedOn w:val="normal1"/>
    <w:uiPriority w:val="1"/>
    <w:qFormat/>
  </w:style>
  <w:style w:type="paragraph" w:styleId="NormalWeb">
    <w:name w:val="Normal (Web)"/>
    <w:basedOn w:val="normal1"/>
    <w:uiPriority w:val="99"/>
    <w:semiHidden/>
    <w:unhideWhenUsed/>
    <w:qFormat/>
    <w:rsid w:val="00B52F14"/>
    <w:pPr>
      <w:widowControl/>
      <w:spacing w:beforeAutospacing="1" w:afterAutospacing="1"/>
    </w:pPr>
    <w:rPr>
      <w:rFonts w:ascii="Times New Roman" w:eastAsia="Times New Roman" w:hAnsi="Times New Roman" w:cs="Times New Roman"/>
      <w:sz w:val="24"/>
      <w:szCs w:val="24"/>
      <w:lang w:val="es-MX" w:eastAsia="es-MX"/>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1"/>
    <w:link w:val="EncabezadoCar"/>
    <w:uiPriority w:val="99"/>
    <w:unhideWhenUsed/>
    <w:rsid w:val="00D032AD"/>
    <w:pPr>
      <w:tabs>
        <w:tab w:val="center" w:pos="4419"/>
        <w:tab w:val="right" w:pos="8838"/>
      </w:tabs>
    </w:pPr>
  </w:style>
  <w:style w:type="paragraph" w:styleId="Piedepgina">
    <w:name w:val="footer"/>
    <w:basedOn w:val="normal1"/>
    <w:link w:val="PiedepginaCar"/>
    <w:uiPriority w:val="99"/>
    <w:unhideWhenUsed/>
    <w:rsid w:val="00D032AD"/>
    <w:pPr>
      <w:tabs>
        <w:tab w:val="center" w:pos="4419"/>
        <w:tab w:val="right" w:pos="8838"/>
      </w:tabs>
    </w:pPr>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uerpo">
    <w:name w:val="Cuerpo"/>
    <w:qFormat/>
    <w:rPr>
      <w:rFonts w:ascii="Cambria" w:eastAsia="Arial Unicode MS" w:hAnsi="Cambria" w:cs="Arial Unicode MS"/>
      <w:color w:val="000000"/>
      <w:u w:color="000000"/>
      <w:lang w:eastAsia="es-MX"/>
      <w14:textOutline w14:w="0" w14:cap="flat" w14:cmpd="sng" w14:algn="ctr">
        <w14:noFill/>
        <w14:prstDash w14:val="solid"/>
        <w14:bevel/>
      </w14:textOutline>
    </w:rPr>
  </w:style>
  <w:style w:type="paragraph" w:customStyle="1" w:styleId="Normal0">
    <w:name w:val="Normal0"/>
    <w:basedOn w:val="Normal"/>
    <w:next w:val="Normal"/>
    <w:uiPriority w:val="1"/>
    <w:qFormat/>
    <w:rsid w:val="34669E51"/>
    <w:rPr>
      <w:rFonts w:ascii="Times New Roman" w:eastAsia="Times New Roman" w:hAnsi="Times New Roman" w:cs="Times New Roman"/>
      <w:sz w:val="24"/>
      <w:szCs w:val="24"/>
      <w:lang w:val="en-US" w:eastAsia="en-US"/>
    </w:rPr>
  </w:style>
  <w:style w:type="paragraph" w:customStyle="1" w:styleId="normal2">
    <w:name w:val="normal2"/>
    <w:qFormat/>
  </w:style>
  <w:style w:type="paragraph" w:customStyle="1" w:styleId="p1">
    <w:name w:val="p1"/>
    <w:basedOn w:val="Normal"/>
    <w:qFormat/>
    <w:pPr>
      <w:spacing w:beforeAutospacing="1" w:afterAutospacing="1"/>
    </w:pPr>
    <w:rPr>
      <w:rFonts w:ascii="Times New Roman" w:eastAsia="Times New Roman" w:hAnsi="Times New Roman" w:cs="Times New Roman"/>
      <w:lang w:eastAsia="es-MX"/>
    </w:rPr>
  </w:style>
  <w:style w:type="paragraph" w:customStyle="1" w:styleId="p2">
    <w:name w:val="p2"/>
    <w:basedOn w:val="Normal"/>
    <w:qFormat/>
    <w:pPr>
      <w:spacing w:beforeAutospacing="1" w:afterAutospacing="1"/>
    </w:pPr>
    <w:rPr>
      <w:rFonts w:ascii="Times New Roman" w:eastAsia="Times New Roman" w:hAnsi="Times New Roman" w:cs="Times New Roman"/>
      <w:lang w:eastAsia="es-MX"/>
    </w:rPr>
  </w:style>
  <w:style w:type="numbering" w:customStyle="1" w:styleId="Ningunalista">
    <w:name w:val="Ninguna lista"/>
    <w:uiPriority w:val="99"/>
    <w:semiHidden/>
    <w:unhideWhenUsed/>
    <w:qFormat/>
  </w:style>
  <w:style w:type="table" w:customStyle="1" w:styleId="NormalTable0">
    <w:name w:val="Normal Table0"/>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mss.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atrodelanacion.com.mx/" TargetMode="External"/><Relationship Id="rId4" Type="http://schemas.openxmlformats.org/officeDocument/2006/relationships/settings" Target="settings.xml"/><Relationship Id="rId9" Type="http://schemas.openxmlformats.org/officeDocument/2006/relationships/hyperlink" Target="https://inba.gob.m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qpW+bTQqBV5QBz8TvuShSrFXpnA==">CgMxLjA4AHIhMUNobWZrTm1PNXc1R1lqQXZNSVhGZlZDYkxKWUtyZFp2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522</Words>
  <Characters>2877</Characters>
  <Application>Microsoft Office Word</Application>
  <DocSecurity>0</DocSecurity>
  <Lines>23</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Luz Maria Rico Jardon</cp:lastModifiedBy>
  <cp:revision>3</cp:revision>
  <cp:lastPrinted>2025-03-28T13:52:00Z</cp:lastPrinted>
  <dcterms:created xsi:type="dcterms:W3CDTF">2025-08-13T18:02:00Z</dcterms:created>
  <dcterms:modified xsi:type="dcterms:W3CDTF">2025-08-13T18:03:00Z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2025-03-09T00:00:00Z</vt:filetime>
  </property>
  <property fmtid="{D5CDD505-2E9C-101B-9397-08002B2CF9AE}" pid="4" name="Producer">
    <vt:lpwstr>macOS Versión 15.3.1 (Compilación 24D70) Quartz PDFContext</vt:lpwstr>
  </property>
</Properties>
</file>