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F231FD" w14:textId="77777777" w:rsidR="004369D0" w:rsidRDefault="004369D0">
      <w:pPr>
        <w:pBdr>
          <w:top w:val="nil"/>
          <w:left w:val="nil"/>
          <w:bottom w:val="nil"/>
          <w:right w:val="nil"/>
          <w:between w:val="nil"/>
        </w:pBdr>
        <w:ind w:left="-993" w:right="-1276"/>
        <w:jc w:val="right"/>
        <w:rPr>
          <w:rFonts w:ascii="Noto Sans" w:eastAsia="Noto Sans" w:hAnsi="Noto Sans" w:cs="Noto Sans"/>
          <w:b/>
          <w:bCs/>
          <w:color w:val="000000"/>
          <w:sz w:val="20"/>
          <w:szCs w:val="20"/>
        </w:rPr>
      </w:pPr>
    </w:p>
    <w:p w14:paraId="39827D18" w14:textId="260C4268" w:rsidR="00210F20" w:rsidRDefault="004369D0">
      <w:pPr>
        <w:pBdr>
          <w:top w:val="nil"/>
          <w:left w:val="nil"/>
          <w:bottom w:val="nil"/>
          <w:right w:val="nil"/>
          <w:between w:val="nil"/>
        </w:pBdr>
        <w:ind w:left="-993" w:right="-1276"/>
        <w:jc w:val="right"/>
        <w:rPr>
          <w:rFonts w:ascii="Noto Sans" w:eastAsia="Noto Sans" w:hAnsi="Noto Sans" w:cs="Noto Sans"/>
          <w:b/>
          <w:bCs/>
          <w:color w:val="000000"/>
          <w:sz w:val="20"/>
          <w:szCs w:val="20"/>
        </w:rPr>
      </w:pPr>
      <w:r>
        <w:rPr>
          <w:rFonts w:ascii="Noto Sans" w:eastAsia="Noto Sans" w:hAnsi="Noto Sans" w:cs="Noto Sans"/>
          <w:b/>
          <w:bCs/>
          <w:color w:val="000000"/>
          <w:sz w:val="20"/>
          <w:szCs w:val="20"/>
        </w:rPr>
        <w:t xml:space="preserve"> BOLETÍN CONJUTO</w:t>
      </w:r>
    </w:p>
    <w:p w14:paraId="1D17419F" w14:textId="2904205B" w:rsidR="004369D0" w:rsidRPr="004369D0" w:rsidRDefault="004369D0">
      <w:pPr>
        <w:pBdr>
          <w:top w:val="nil"/>
          <w:left w:val="nil"/>
          <w:bottom w:val="nil"/>
          <w:right w:val="nil"/>
          <w:between w:val="nil"/>
        </w:pBdr>
        <w:ind w:left="-993" w:right="-1276"/>
        <w:jc w:val="right"/>
        <w:rPr>
          <w:rFonts w:ascii="Noto Sans" w:eastAsia="Noto Sans" w:hAnsi="Noto Sans" w:cs="Noto Sans"/>
          <w:color w:val="000000"/>
          <w:sz w:val="20"/>
          <w:szCs w:val="20"/>
        </w:rPr>
      </w:pPr>
      <w:r w:rsidRPr="004369D0">
        <w:rPr>
          <w:rFonts w:ascii="Noto Sans" w:eastAsia="Noto Sans" w:hAnsi="Noto Sans" w:cs="Noto Sans"/>
          <w:color w:val="000000"/>
          <w:sz w:val="20"/>
          <w:szCs w:val="20"/>
        </w:rPr>
        <w:t>Ciudad de México, a 28 de septiembre de 20226</w:t>
      </w:r>
    </w:p>
    <w:p w14:paraId="7EEE996F" w14:textId="366FC009" w:rsidR="004369D0" w:rsidRPr="004369D0" w:rsidRDefault="004369D0">
      <w:pPr>
        <w:pBdr>
          <w:top w:val="nil"/>
          <w:left w:val="nil"/>
          <w:bottom w:val="nil"/>
          <w:right w:val="nil"/>
          <w:between w:val="nil"/>
        </w:pBdr>
        <w:ind w:left="-993" w:right="-1276"/>
        <w:jc w:val="right"/>
        <w:rPr>
          <w:rFonts w:ascii="Noto Sans" w:eastAsia="Noto Sans" w:hAnsi="Noto Sans" w:cs="Noto Sans"/>
          <w:color w:val="D3C673"/>
          <w:sz w:val="20"/>
          <w:szCs w:val="20"/>
        </w:rPr>
      </w:pPr>
      <w:r w:rsidRPr="004369D0">
        <w:rPr>
          <w:rFonts w:ascii="Noto Sans" w:eastAsia="Noto Sans" w:hAnsi="Noto Sans" w:cs="Noto Sans"/>
          <w:color w:val="000000"/>
          <w:sz w:val="20"/>
          <w:szCs w:val="20"/>
        </w:rPr>
        <w:t>No. 51972026</w:t>
      </w:r>
    </w:p>
    <w:p w14:paraId="5E05DFAD" w14:textId="77777777" w:rsidR="00210F20" w:rsidRPr="004369D0" w:rsidRDefault="00210F20">
      <w:pPr>
        <w:pStyle w:val="Ttulo2"/>
        <w:spacing w:before="0" w:after="0"/>
        <w:jc w:val="center"/>
        <w:rPr>
          <w:rFonts w:ascii="Noto Sans" w:eastAsia="Noto Sans" w:hAnsi="Noto Sans" w:cs="Noto Sans"/>
          <w:b w:val="0"/>
          <w:bCs w:val="0"/>
          <w:color w:val="000000"/>
          <w:sz w:val="22"/>
          <w:szCs w:val="22"/>
        </w:rPr>
      </w:pPr>
    </w:p>
    <w:p w14:paraId="2262E783" w14:textId="77777777" w:rsidR="00210F20" w:rsidRDefault="00034A83">
      <w:pPr>
        <w:pStyle w:val="Ttulo2"/>
        <w:spacing w:before="0" w:after="0"/>
        <w:jc w:val="center"/>
        <w:rPr>
          <w:rFonts w:ascii="Noto Sans" w:eastAsia="Noto Sans" w:hAnsi="Noto Sans" w:cs="Noto Sans"/>
          <w:color w:val="000000"/>
          <w:sz w:val="28"/>
          <w:szCs w:val="28"/>
        </w:rPr>
      </w:pPr>
      <w:r>
        <w:rPr>
          <w:rFonts w:ascii="Noto Sans" w:eastAsia="Noto Sans" w:hAnsi="Noto Sans" w:cs="Noto Sans"/>
          <w:color w:val="000000"/>
          <w:sz w:val="28"/>
          <w:szCs w:val="28"/>
        </w:rPr>
        <w:t>Servicio Universal de Salud tendrá 12 mil 750 consultorios para ampliar la atención primaria en 2027</w:t>
      </w:r>
    </w:p>
    <w:p w14:paraId="47584323" w14:textId="77777777" w:rsidR="00210F20" w:rsidRDefault="00210F20"/>
    <w:p w14:paraId="2014788C" w14:textId="77777777" w:rsidR="00210F20" w:rsidRDefault="00034A83">
      <w:pPr>
        <w:numPr>
          <w:ilvl w:val="0"/>
          <w:numId w:val="1"/>
        </w:numPr>
        <w:ind w:right="-1267"/>
        <w:jc w:val="both"/>
        <w:rPr>
          <w:color w:val="000000"/>
          <w:sz w:val="16"/>
          <w:szCs w:val="16"/>
        </w:rPr>
      </w:pPr>
      <w:r>
        <w:rPr>
          <w:rFonts w:ascii="Noto Sans" w:eastAsia="Noto Sans" w:hAnsi="Noto Sans" w:cs="Noto Sans"/>
          <w:b/>
          <w:bCs/>
          <w:color w:val="000000"/>
          <w:sz w:val="18"/>
          <w:szCs w:val="18"/>
        </w:rPr>
        <w:t>Los Consultorios SUS acercarán servicios gratuitos de atención primaria y permitirán recibir, valorar y orientar a las personas, independientemente de su condición laboral</w:t>
      </w:r>
    </w:p>
    <w:p w14:paraId="4C615CBD" w14:textId="77777777" w:rsidR="00210F20" w:rsidRDefault="00034A83">
      <w:pPr>
        <w:numPr>
          <w:ilvl w:val="0"/>
          <w:numId w:val="1"/>
        </w:numPr>
        <w:ind w:right="-1267"/>
        <w:jc w:val="both"/>
        <w:rPr>
          <w:color w:val="000000"/>
          <w:sz w:val="16"/>
          <w:szCs w:val="16"/>
        </w:rPr>
      </w:pPr>
      <w:r>
        <w:rPr>
          <w:rFonts w:ascii="Noto Sans" w:eastAsia="Noto Sans" w:hAnsi="Noto Sans" w:cs="Noto Sans"/>
          <w:b/>
          <w:bCs/>
          <w:color w:val="000000"/>
          <w:sz w:val="18"/>
          <w:szCs w:val="18"/>
        </w:rPr>
        <w:t>La nueva red permitirá sumar alrededor de 50 millones de consultas al año a las cerca de 200 millones que actualmente brindan las instituciones participantes</w:t>
      </w:r>
    </w:p>
    <w:p w14:paraId="4E2F9C3F" w14:textId="77777777" w:rsidR="00210F20" w:rsidRDefault="00034A83">
      <w:pPr>
        <w:numPr>
          <w:ilvl w:val="0"/>
          <w:numId w:val="1"/>
        </w:numPr>
        <w:ind w:right="-1267"/>
        <w:jc w:val="both"/>
        <w:rPr>
          <w:color w:val="000000"/>
          <w:sz w:val="16"/>
          <w:szCs w:val="16"/>
        </w:rPr>
      </w:pPr>
      <w:r>
        <w:rPr>
          <w:rFonts w:ascii="Noto Sans" w:eastAsia="Noto Sans" w:hAnsi="Noto Sans" w:cs="Noto Sans"/>
          <w:b/>
          <w:bCs/>
          <w:color w:val="000000"/>
          <w:sz w:val="18"/>
          <w:szCs w:val="18"/>
        </w:rPr>
        <w:t>Salud, Bienestar, IMSS, ISSSTE e IMSS-Bienestar avanzan en la organización de una red pública articulada, con criterios homologados de atención</w:t>
      </w:r>
    </w:p>
    <w:p w14:paraId="1389F1B5" w14:textId="77777777" w:rsidR="00210F20" w:rsidRDefault="00210F20">
      <w:pPr>
        <w:pBdr>
          <w:top w:val="nil"/>
          <w:left w:val="nil"/>
          <w:bottom w:val="nil"/>
          <w:right w:val="nil"/>
          <w:between w:val="nil"/>
        </w:pBdr>
        <w:jc w:val="both"/>
        <w:rPr>
          <w:rFonts w:ascii="Noto Sans" w:eastAsia="Noto Sans" w:hAnsi="Noto Sans" w:cs="Noto Sans"/>
          <w:b/>
          <w:bCs/>
          <w:color w:val="000000"/>
          <w:sz w:val="20"/>
          <w:szCs w:val="20"/>
        </w:rPr>
      </w:pPr>
    </w:p>
    <w:p w14:paraId="2E0A77E9" w14:textId="77777777" w:rsidR="00210F20" w:rsidRDefault="00034A83">
      <w:pPr>
        <w:pBdr>
          <w:top w:val="nil"/>
          <w:left w:val="nil"/>
          <w:bottom w:val="nil"/>
          <w:right w:val="nil"/>
          <w:between w:val="nil"/>
        </w:pBdr>
        <w:ind w:left="-566" w:right="-1126"/>
        <w:jc w:val="both"/>
        <w:rPr>
          <w:rFonts w:ascii="Noto Sans" w:eastAsia="Noto Sans" w:hAnsi="Noto Sans" w:cs="Noto Sans"/>
          <w:color w:val="000000"/>
          <w:sz w:val="22"/>
          <w:szCs w:val="22"/>
        </w:rPr>
      </w:pPr>
      <w:r>
        <w:rPr>
          <w:rFonts w:ascii="Noto Sans" w:eastAsia="Noto Sans" w:hAnsi="Noto Sans" w:cs="Noto Sans"/>
          <w:b/>
          <w:bCs/>
          <w:color w:val="000000"/>
          <w:sz w:val="22"/>
          <w:szCs w:val="22"/>
        </w:rPr>
        <w:t>Ciudad de México, 28 de septiembre de 2026.-</w:t>
      </w:r>
      <w:r>
        <w:rPr>
          <w:rFonts w:ascii="Noto Sans" w:eastAsia="Noto Sans" w:hAnsi="Noto Sans" w:cs="Noto Sans"/>
          <w:color w:val="000000"/>
          <w:sz w:val="22"/>
          <w:szCs w:val="22"/>
        </w:rPr>
        <w:t> El Servicio Universal de Salud (SUS) contempla poner en operación 12 mil 750 consultorios para enero de 2027, mediante el aprovechamiento de espacios existentes y la habilitación de nuevos puntos de atención, para acercar los servicios de salud a las comunidades y ampliar la capacidad de atención primaria. </w:t>
      </w:r>
    </w:p>
    <w:p w14:paraId="62A6E03D" w14:textId="77777777" w:rsidR="00210F20" w:rsidRDefault="00210F20">
      <w:pPr>
        <w:pBdr>
          <w:top w:val="nil"/>
          <w:left w:val="nil"/>
          <w:bottom w:val="nil"/>
          <w:right w:val="nil"/>
          <w:between w:val="nil"/>
        </w:pBdr>
        <w:ind w:left="-566" w:right="-1126"/>
        <w:jc w:val="both"/>
        <w:rPr>
          <w:rFonts w:ascii="Noto Sans" w:eastAsia="Noto Sans" w:hAnsi="Noto Sans" w:cs="Noto Sans"/>
          <w:color w:val="000000"/>
          <w:sz w:val="22"/>
          <w:szCs w:val="22"/>
        </w:rPr>
      </w:pPr>
    </w:p>
    <w:p w14:paraId="36F55FA6" w14:textId="77777777" w:rsidR="00210F20" w:rsidRDefault="00034A83">
      <w:pPr>
        <w:pBdr>
          <w:top w:val="nil"/>
          <w:left w:val="nil"/>
          <w:bottom w:val="nil"/>
          <w:right w:val="nil"/>
          <w:between w:val="nil"/>
        </w:pBdr>
        <w:ind w:left="-566" w:right="-1126"/>
        <w:jc w:val="both"/>
        <w:rPr>
          <w:rFonts w:ascii="Noto Sans" w:eastAsia="Noto Sans" w:hAnsi="Noto Sans" w:cs="Noto Sans"/>
          <w:color w:val="000000"/>
          <w:sz w:val="22"/>
          <w:szCs w:val="22"/>
        </w:rPr>
      </w:pPr>
      <w:r>
        <w:rPr>
          <w:rFonts w:ascii="Noto Sans" w:eastAsia="Noto Sans" w:hAnsi="Noto Sans" w:cs="Noto Sans"/>
          <w:color w:val="000000"/>
          <w:sz w:val="22"/>
          <w:szCs w:val="22"/>
        </w:rPr>
        <w:t>El secretario de Salud, David Kershenobich, destacó que el SUS permitirá avanzar hacia una atención coordinada entre las instituciones públicas y responder oportunamente a necesidades frecuentes de salud, como infecciones respiratorias, enfermedades gastrointestinales, traumatismos y otros padecimientos agudos.</w:t>
      </w:r>
    </w:p>
    <w:p w14:paraId="7E6334D3" w14:textId="77777777" w:rsidR="00210F20" w:rsidRDefault="00210F20">
      <w:pPr>
        <w:pBdr>
          <w:top w:val="nil"/>
          <w:left w:val="nil"/>
          <w:bottom w:val="nil"/>
          <w:right w:val="nil"/>
          <w:between w:val="nil"/>
        </w:pBdr>
        <w:ind w:left="-566" w:right="-1126"/>
        <w:jc w:val="both"/>
        <w:rPr>
          <w:rFonts w:ascii="Noto Sans" w:eastAsia="Noto Sans" w:hAnsi="Noto Sans" w:cs="Noto Sans"/>
          <w:color w:val="000000"/>
          <w:sz w:val="22"/>
          <w:szCs w:val="22"/>
        </w:rPr>
      </w:pPr>
    </w:p>
    <w:p w14:paraId="3EEE7478" w14:textId="77777777" w:rsidR="00210F20" w:rsidRDefault="00034A83">
      <w:pPr>
        <w:pBdr>
          <w:top w:val="nil"/>
          <w:left w:val="nil"/>
          <w:bottom w:val="nil"/>
          <w:right w:val="nil"/>
          <w:between w:val="nil"/>
        </w:pBdr>
        <w:ind w:left="-566" w:right="-1126"/>
        <w:jc w:val="both"/>
        <w:rPr>
          <w:rFonts w:ascii="Noto Sans" w:eastAsia="Noto Sans" w:hAnsi="Noto Sans" w:cs="Noto Sans"/>
          <w:color w:val="000000"/>
          <w:sz w:val="22"/>
          <w:szCs w:val="22"/>
        </w:rPr>
      </w:pPr>
      <w:r>
        <w:rPr>
          <w:rFonts w:ascii="Noto Sans" w:eastAsia="Noto Sans" w:hAnsi="Noto Sans" w:cs="Noto Sans"/>
          <w:color w:val="000000"/>
          <w:sz w:val="22"/>
          <w:szCs w:val="22"/>
        </w:rPr>
        <w:t>“Estamos en presencia de lo que es verdaderamente una transformación de la atención a las personas en lo que se refiere al sector salud”, afirmó. </w:t>
      </w:r>
    </w:p>
    <w:p w14:paraId="5CF6F622" w14:textId="77777777" w:rsidR="00210F20" w:rsidRDefault="00210F20">
      <w:pPr>
        <w:pBdr>
          <w:top w:val="nil"/>
          <w:left w:val="nil"/>
          <w:bottom w:val="nil"/>
          <w:right w:val="nil"/>
          <w:between w:val="nil"/>
        </w:pBdr>
        <w:ind w:left="-566" w:right="-1126"/>
        <w:jc w:val="both"/>
        <w:rPr>
          <w:rFonts w:ascii="Noto Sans" w:eastAsia="Noto Sans" w:hAnsi="Noto Sans" w:cs="Noto Sans"/>
          <w:color w:val="000000"/>
          <w:sz w:val="22"/>
          <w:szCs w:val="22"/>
        </w:rPr>
      </w:pPr>
    </w:p>
    <w:p w14:paraId="094D6EB1" w14:textId="77777777" w:rsidR="00210F20" w:rsidRDefault="00034A83">
      <w:pPr>
        <w:pBdr>
          <w:top w:val="nil"/>
          <w:left w:val="nil"/>
          <w:bottom w:val="nil"/>
          <w:right w:val="nil"/>
          <w:between w:val="nil"/>
        </w:pBdr>
        <w:ind w:left="-566" w:right="-1126"/>
        <w:jc w:val="both"/>
        <w:rPr>
          <w:rFonts w:ascii="Noto Sans" w:eastAsia="Noto Sans" w:hAnsi="Noto Sans" w:cs="Noto Sans"/>
          <w:color w:val="000000"/>
          <w:sz w:val="22"/>
          <w:szCs w:val="22"/>
        </w:rPr>
      </w:pPr>
      <w:r>
        <w:rPr>
          <w:rFonts w:ascii="Noto Sans" w:eastAsia="Noto Sans" w:hAnsi="Noto Sans" w:cs="Noto Sans"/>
          <w:color w:val="000000"/>
          <w:sz w:val="22"/>
          <w:szCs w:val="22"/>
        </w:rPr>
        <w:t>Por su parte, la secretaria de Bienestar, Leticia Ramírez Amaya, destacó que los Consultorios SUS complementarán Salud Casa por Casa, programa mediante el cual 20 mil profesionales de la salud realizan visitas domiciliarias gratuitas a personas adultas mayores y con discapacidad derechohabientes de las Pensiones para el Bienestar. </w:t>
      </w:r>
    </w:p>
    <w:p w14:paraId="7A9C24D5" w14:textId="77777777" w:rsidR="00210F20" w:rsidRDefault="00210F20">
      <w:pPr>
        <w:pBdr>
          <w:top w:val="nil"/>
          <w:left w:val="nil"/>
          <w:bottom w:val="nil"/>
          <w:right w:val="nil"/>
          <w:between w:val="nil"/>
        </w:pBdr>
        <w:ind w:left="-566" w:right="-1126"/>
        <w:jc w:val="both"/>
        <w:rPr>
          <w:rFonts w:ascii="Noto Sans" w:eastAsia="Noto Sans" w:hAnsi="Noto Sans" w:cs="Noto Sans"/>
          <w:color w:val="000000"/>
          <w:sz w:val="22"/>
          <w:szCs w:val="22"/>
        </w:rPr>
      </w:pPr>
    </w:p>
    <w:p w14:paraId="533E09D8" w14:textId="77777777" w:rsidR="00210F20" w:rsidRDefault="00034A83">
      <w:pPr>
        <w:pBdr>
          <w:top w:val="nil"/>
          <w:left w:val="nil"/>
          <w:bottom w:val="nil"/>
          <w:right w:val="nil"/>
          <w:between w:val="nil"/>
        </w:pBdr>
        <w:ind w:left="-566" w:right="-1126"/>
        <w:jc w:val="both"/>
        <w:rPr>
          <w:rFonts w:ascii="Noto Sans" w:eastAsia="Noto Sans" w:hAnsi="Noto Sans" w:cs="Noto Sans"/>
          <w:color w:val="000000"/>
          <w:sz w:val="22"/>
          <w:szCs w:val="22"/>
        </w:rPr>
      </w:pPr>
      <w:r>
        <w:rPr>
          <w:rFonts w:ascii="Noto Sans" w:eastAsia="Noto Sans" w:hAnsi="Noto Sans" w:cs="Noto Sans"/>
          <w:color w:val="000000"/>
          <w:sz w:val="22"/>
          <w:szCs w:val="22"/>
        </w:rPr>
        <w:t>El subsecretario de Integración Sectorial y Coordinación de Servicios de Atención Médica, Eduardo Clark, informó que las instituciones participantes brindan actualmente cerca de 200 millones de consultas de primer nivel al año y estimó que los Consultorios SUS permitirán sumar aproximadamente 50 millones de consultas adicionales anuales. </w:t>
      </w:r>
    </w:p>
    <w:p w14:paraId="0E0C9716" w14:textId="77777777" w:rsidR="00210F20" w:rsidRDefault="00210F20">
      <w:pPr>
        <w:pBdr>
          <w:top w:val="nil"/>
          <w:left w:val="nil"/>
          <w:bottom w:val="nil"/>
          <w:right w:val="nil"/>
          <w:between w:val="nil"/>
        </w:pBdr>
        <w:ind w:left="-566" w:right="-1126"/>
        <w:jc w:val="both"/>
        <w:rPr>
          <w:rFonts w:ascii="Noto Sans" w:eastAsia="Noto Sans" w:hAnsi="Noto Sans" w:cs="Noto Sans"/>
          <w:color w:val="000000"/>
          <w:sz w:val="22"/>
          <w:szCs w:val="22"/>
        </w:rPr>
      </w:pPr>
    </w:p>
    <w:p w14:paraId="140CE4E3" w14:textId="77777777" w:rsidR="00210F20" w:rsidRDefault="00034A83">
      <w:pPr>
        <w:pBdr>
          <w:top w:val="nil"/>
          <w:left w:val="nil"/>
          <w:bottom w:val="nil"/>
          <w:right w:val="nil"/>
          <w:between w:val="nil"/>
        </w:pBdr>
        <w:ind w:left="-566" w:right="-1126"/>
        <w:jc w:val="both"/>
        <w:rPr>
          <w:rFonts w:ascii="Noto Sans" w:eastAsia="Noto Sans" w:hAnsi="Noto Sans" w:cs="Noto Sans"/>
          <w:color w:val="000000"/>
          <w:sz w:val="22"/>
          <w:szCs w:val="22"/>
        </w:rPr>
      </w:pPr>
      <w:r>
        <w:rPr>
          <w:rFonts w:ascii="Noto Sans" w:eastAsia="Noto Sans" w:hAnsi="Noto Sans" w:cs="Noto Sans"/>
          <w:color w:val="000000"/>
          <w:sz w:val="22"/>
          <w:szCs w:val="22"/>
        </w:rPr>
        <w:t xml:space="preserve">Los consultorios operarán bajo criterios homologados de infraestructura, mobiliario, equipamiento y conectividad, y contarán con personal médico, de enfermería y auxiliar, de </w:t>
      </w:r>
      <w:r>
        <w:rPr>
          <w:rFonts w:ascii="Noto Sans" w:eastAsia="Noto Sans" w:hAnsi="Noto Sans" w:cs="Noto Sans"/>
          <w:color w:val="000000"/>
          <w:sz w:val="22"/>
          <w:szCs w:val="22"/>
        </w:rPr>
        <w:lastRenderedPageBreak/>
        <w:t>acuerdo con las necesidades de cada comunidad. En las zonas rurales se privilegiará la cercanía mediante casas de salud y otros espacios, mientras que en las zonas urbanas se ampliará la capacidad de atención. Se contempla el uso de herramientas tecnológicas para facilitar la atención remota en caso necesario.</w:t>
      </w:r>
    </w:p>
    <w:p w14:paraId="4DB58D4A" w14:textId="77777777" w:rsidR="00210F20" w:rsidRDefault="00210F20">
      <w:pPr>
        <w:pBdr>
          <w:top w:val="nil"/>
          <w:left w:val="nil"/>
          <w:bottom w:val="nil"/>
          <w:right w:val="nil"/>
          <w:between w:val="nil"/>
        </w:pBdr>
        <w:ind w:left="-566" w:right="-1126"/>
        <w:jc w:val="both"/>
        <w:rPr>
          <w:rFonts w:ascii="Noto Sans" w:eastAsia="Noto Sans" w:hAnsi="Noto Sans" w:cs="Noto Sans"/>
          <w:color w:val="000000"/>
          <w:sz w:val="22"/>
          <w:szCs w:val="22"/>
        </w:rPr>
      </w:pPr>
    </w:p>
    <w:p w14:paraId="48FA2BE5" w14:textId="77777777" w:rsidR="00210F20" w:rsidRDefault="00034A83">
      <w:pPr>
        <w:pBdr>
          <w:top w:val="nil"/>
          <w:left w:val="nil"/>
          <w:bottom w:val="nil"/>
          <w:right w:val="nil"/>
          <w:between w:val="nil"/>
        </w:pBdr>
        <w:ind w:left="-566" w:right="-1126"/>
        <w:jc w:val="both"/>
        <w:rPr>
          <w:rFonts w:ascii="Noto Sans" w:eastAsia="Noto Sans" w:hAnsi="Noto Sans" w:cs="Noto Sans"/>
          <w:color w:val="000000"/>
          <w:sz w:val="22"/>
          <w:szCs w:val="22"/>
        </w:rPr>
      </w:pPr>
      <w:r>
        <w:rPr>
          <w:rFonts w:ascii="Noto Sans" w:eastAsia="Noto Sans" w:hAnsi="Noto Sans" w:cs="Noto Sans"/>
          <w:color w:val="000000"/>
          <w:sz w:val="22"/>
          <w:szCs w:val="22"/>
        </w:rPr>
        <w:t>El director general del ISSSTE, Martí Batres Guadarrama, informó que el Instituto contribuirá al proyecto con 500 consultorios, en los que se atenderán padecimientos frecuentes y se dará seguimiento a enfermedades crónicas no transmisibles como diabetes, hipertensión y obesidad. </w:t>
      </w:r>
    </w:p>
    <w:p w14:paraId="4072CC21" w14:textId="77777777" w:rsidR="00210F20" w:rsidRDefault="00210F20">
      <w:pPr>
        <w:pBdr>
          <w:top w:val="nil"/>
          <w:left w:val="nil"/>
          <w:bottom w:val="nil"/>
          <w:right w:val="nil"/>
          <w:between w:val="nil"/>
        </w:pBdr>
        <w:ind w:left="-566" w:right="-1126"/>
        <w:jc w:val="both"/>
        <w:rPr>
          <w:rFonts w:ascii="Noto Sans" w:eastAsia="Noto Sans" w:hAnsi="Noto Sans" w:cs="Noto Sans"/>
          <w:color w:val="000000"/>
          <w:sz w:val="22"/>
          <w:szCs w:val="22"/>
        </w:rPr>
      </w:pPr>
    </w:p>
    <w:p w14:paraId="0F0DE2F6" w14:textId="77777777" w:rsidR="00210F20" w:rsidRDefault="00034A83">
      <w:pPr>
        <w:pBdr>
          <w:top w:val="nil"/>
          <w:left w:val="nil"/>
          <w:bottom w:val="nil"/>
          <w:right w:val="nil"/>
          <w:between w:val="nil"/>
        </w:pBdr>
        <w:ind w:left="-566" w:right="-1126"/>
        <w:jc w:val="both"/>
        <w:rPr>
          <w:rFonts w:ascii="Noto Sans" w:eastAsia="Noto Sans" w:hAnsi="Noto Sans" w:cs="Noto Sans"/>
          <w:color w:val="000000"/>
          <w:sz w:val="22"/>
          <w:szCs w:val="22"/>
        </w:rPr>
      </w:pPr>
      <w:r>
        <w:rPr>
          <w:rFonts w:ascii="Noto Sans" w:eastAsia="Noto Sans" w:hAnsi="Noto Sans" w:cs="Noto Sans"/>
          <w:color w:val="000000"/>
          <w:sz w:val="22"/>
          <w:szCs w:val="22"/>
        </w:rPr>
        <w:t>El director general del IMSS, Zoé Robledo, señaló que los Consultorios SUS forman parte de una estrategia preventiva e interconectada que permitirá aprovechar cada contacto de las personas con los servicios médicos para fortalecer la prevención, el control de padecimientos y, cuando corresponda, la referencia a otros niveles de atención. </w:t>
      </w:r>
    </w:p>
    <w:p w14:paraId="22C8AA19" w14:textId="77777777" w:rsidR="00210F20" w:rsidRDefault="00210F20">
      <w:pPr>
        <w:pBdr>
          <w:top w:val="nil"/>
          <w:left w:val="nil"/>
          <w:bottom w:val="nil"/>
          <w:right w:val="nil"/>
          <w:between w:val="nil"/>
        </w:pBdr>
        <w:ind w:left="-566" w:right="-1126"/>
        <w:jc w:val="both"/>
        <w:rPr>
          <w:rFonts w:ascii="Noto Sans" w:eastAsia="Noto Sans" w:hAnsi="Noto Sans" w:cs="Noto Sans"/>
          <w:color w:val="000000"/>
          <w:sz w:val="22"/>
          <w:szCs w:val="22"/>
        </w:rPr>
      </w:pPr>
    </w:p>
    <w:p w14:paraId="07323370" w14:textId="77777777" w:rsidR="00210F20" w:rsidRDefault="00034A83">
      <w:pPr>
        <w:pBdr>
          <w:top w:val="nil"/>
          <w:left w:val="nil"/>
          <w:bottom w:val="nil"/>
          <w:right w:val="nil"/>
          <w:between w:val="nil"/>
        </w:pBdr>
        <w:ind w:left="-566" w:right="-1126"/>
        <w:jc w:val="both"/>
        <w:rPr>
          <w:rFonts w:ascii="Noto Sans" w:eastAsia="Noto Sans" w:hAnsi="Noto Sans" w:cs="Noto Sans"/>
          <w:color w:val="000000"/>
          <w:sz w:val="22"/>
          <w:szCs w:val="22"/>
        </w:rPr>
      </w:pPr>
      <w:r>
        <w:rPr>
          <w:rFonts w:ascii="Noto Sans" w:eastAsia="Noto Sans" w:hAnsi="Noto Sans" w:cs="Noto Sans"/>
          <w:color w:val="000000"/>
          <w:sz w:val="22"/>
          <w:szCs w:val="22"/>
        </w:rPr>
        <w:t xml:space="preserve">El director general del IMSS-Bienestar, Alejandro Svarch Pérez, explicó que los Consultorios SUS aplicarán un Modelo de Atención Homologado bajo el principio de </w:t>
      </w:r>
      <w:proofErr w:type="gramStart"/>
      <w:r>
        <w:rPr>
          <w:rFonts w:ascii="Noto Sans" w:eastAsia="Noto Sans" w:hAnsi="Noto Sans" w:cs="Noto Sans"/>
          <w:color w:val="000000"/>
          <w:sz w:val="22"/>
          <w:szCs w:val="22"/>
        </w:rPr>
        <w:t>cero rechazo</w:t>
      </w:r>
      <w:proofErr w:type="gramEnd"/>
      <w:r>
        <w:rPr>
          <w:rFonts w:ascii="Noto Sans" w:eastAsia="Noto Sans" w:hAnsi="Noto Sans" w:cs="Noto Sans"/>
          <w:color w:val="000000"/>
          <w:sz w:val="22"/>
          <w:szCs w:val="22"/>
        </w:rPr>
        <w:t>, para que toda persona pueda ser recibida, valorada y orientada y, cuando sea necesario, referida de manera segura, independientemente de su condición laboral.</w:t>
      </w:r>
    </w:p>
    <w:p w14:paraId="2BEC0590" w14:textId="77777777" w:rsidR="00210F20" w:rsidRDefault="00210F20">
      <w:pPr>
        <w:pBdr>
          <w:top w:val="nil"/>
          <w:left w:val="nil"/>
          <w:bottom w:val="nil"/>
          <w:right w:val="nil"/>
          <w:between w:val="nil"/>
        </w:pBdr>
        <w:ind w:left="-566" w:right="-1126"/>
        <w:jc w:val="both"/>
        <w:rPr>
          <w:rFonts w:ascii="Noto Sans" w:eastAsia="Noto Sans" w:hAnsi="Noto Sans" w:cs="Noto Sans"/>
          <w:sz w:val="22"/>
          <w:szCs w:val="22"/>
        </w:rPr>
      </w:pPr>
    </w:p>
    <w:p w14:paraId="189E2FCB" w14:textId="77777777" w:rsidR="00210F20" w:rsidRDefault="00034A83">
      <w:pPr>
        <w:pBdr>
          <w:top w:val="nil"/>
          <w:left w:val="nil"/>
          <w:bottom w:val="nil"/>
          <w:right w:val="nil"/>
          <w:between w:val="nil"/>
        </w:pBdr>
        <w:ind w:left="-566" w:right="-1126"/>
        <w:jc w:val="both"/>
        <w:rPr>
          <w:rFonts w:ascii="Noto Sans" w:eastAsia="Noto Sans" w:hAnsi="Noto Sans" w:cs="Noto Sans"/>
          <w:color w:val="000000"/>
          <w:sz w:val="22"/>
          <w:szCs w:val="22"/>
        </w:rPr>
      </w:pPr>
      <w:r>
        <w:rPr>
          <w:rFonts w:ascii="Noto Sans" w:eastAsia="Noto Sans" w:hAnsi="Noto Sans" w:cs="Noto Sans"/>
          <w:color w:val="000000"/>
          <w:sz w:val="22"/>
          <w:szCs w:val="22"/>
        </w:rPr>
        <w:t>Asimismo, estarán integrados a una red pública articulada para dar continuidad a la atención y facilitar el acceso a los servicios que no puedan resolverse en el primer contacto. </w:t>
      </w:r>
    </w:p>
    <w:p w14:paraId="079C475B" w14:textId="77777777" w:rsidR="00210F20" w:rsidRDefault="00210F20">
      <w:pPr>
        <w:pBdr>
          <w:top w:val="nil"/>
          <w:left w:val="nil"/>
          <w:bottom w:val="nil"/>
          <w:right w:val="nil"/>
          <w:between w:val="nil"/>
        </w:pBdr>
        <w:ind w:left="-566" w:right="-1126"/>
        <w:jc w:val="both"/>
        <w:rPr>
          <w:rFonts w:ascii="Noto Sans" w:eastAsia="Noto Sans" w:hAnsi="Noto Sans" w:cs="Noto Sans"/>
          <w:color w:val="000000"/>
          <w:sz w:val="22"/>
          <w:szCs w:val="22"/>
        </w:rPr>
      </w:pPr>
    </w:p>
    <w:p w14:paraId="116A21EA" w14:textId="77777777" w:rsidR="00210F20" w:rsidRDefault="00034A83">
      <w:pPr>
        <w:pBdr>
          <w:top w:val="nil"/>
          <w:left w:val="nil"/>
          <w:bottom w:val="nil"/>
          <w:right w:val="nil"/>
          <w:between w:val="nil"/>
        </w:pBdr>
        <w:ind w:left="-566" w:right="-1126"/>
        <w:jc w:val="both"/>
        <w:rPr>
          <w:rFonts w:ascii="Noto Sans" w:eastAsia="Noto Sans" w:hAnsi="Noto Sans" w:cs="Noto Sans"/>
          <w:color w:val="000000"/>
          <w:sz w:val="22"/>
          <w:szCs w:val="22"/>
        </w:rPr>
      </w:pPr>
      <w:r>
        <w:rPr>
          <w:rFonts w:ascii="Noto Sans" w:eastAsia="Noto Sans" w:hAnsi="Noto Sans" w:cs="Noto Sans"/>
          <w:color w:val="000000"/>
          <w:sz w:val="22"/>
          <w:szCs w:val="22"/>
        </w:rPr>
        <w:t>Con esta estrategia, las instituciones del sector avanzan en la integración de una red de atención primaria articulada</w:t>
      </w:r>
      <w:r>
        <w:rPr>
          <w:rFonts w:ascii="Noto Sans" w:eastAsia="Noto Sans" w:hAnsi="Noto Sans" w:cs="Noto Sans"/>
          <w:b/>
          <w:bCs/>
          <w:color w:val="000000"/>
          <w:sz w:val="22"/>
          <w:szCs w:val="22"/>
        </w:rPr>
        <w:t>,</w:t>
      </w:r>
      <w:r>
        <w:rPr>
          <w:rFonts w:ascii="Noto Sans" w:eastAsia="Noto Sans" w:hAnsi="Noto Sans" w:cs="Noto Sans"/>
          <w:color w:val="000000"/>
          <w:sz w:val="22"/>
          <w:szCs w:val="22"/>
        </w:rPr>
        <w:t xml:space="preserve"> para que las personas cuenten con un punto de atención cercano y puedan acceder, cuando lo requieran, a otros servicios dentro de la red pública de salud, sin importar la </w:t>
      </w:r>
      <w:proofErr w:type="spellStart"/>
      <w:r>
        <w:rPr>
          <w:rFonts w:ascii="Noto Sans" w:eastAsia="Noto Sans" w:hAnsi="Noto Sans" w:cs="Noto Sans"/>
          <w:color w:val="000000"/>
          <w:sz w:val="22"/>
          <w:szCs w:val="22"/>
        </w:rPr>
        <w:t>derechohabiencia</w:t>
      </w:r>
      <w:proofErr w:type="spellEnd"/>
      <w:r>
        <w:rPr>
          <w:rFonts w:ascii="Noto Sans" w:eastAsia="Noto Sans" w:hAnsi="Noto Sans" w:cs="Noto Sans"/>
          <w:color w:val="000000"/>
          <w:sz w:val="22"/>
          <w:szCs w:val="22"/>
        </w:rPr>
        <w:t>.  </w:t>
      </w:r>
    </w:p>
    <w:p w14:paraId="2FA3B5CC" w14:textId="77777777" w:rsidR="00210F20" w:rsidRDefault="00210F20">
      <w:pPr>
        <w:pBdr>
          <w:top w:val="nil"/>
          <w:left w:val="nil"/>
          <w:bottom w:val="nil"/>
          <w:right w:val="nil"/>
          <w:between w:val="nil"/>
        </w:pBdr>
        <w:ind w:left="-566" w:right="-1126"/>
        <w:jc w:val="both"/>
        <w:rPr>
          <w:rFonts w:ascii="Noto Sans" w:eastAsia="Noto Sans" w:hAnsi="Noto Sans" w:cs="Noto Sans"/>
          <w:color w:val="000000"/>
          <w:sz w:val="22"/>
          <w:szCs w:val="22"/>
        </w:rPr>
      </w:pPr>
    </w:p>
    <w:p w14:paraId="368217E5" w14:textId="77777777" w:rsidR="00210F20" w:rsidRDefault="00034A83">
      <w:pPr>
        <w:pBdr>
          <w:top w:val="nil"/>
          <w:left w:val="nil"/>
          <w:bottom w:val="nil"/>
          <w:right w:val="nil"/>
          <w:between w:val="nil"/>
        </w:pBdr>
        <w:ind w:left="-566" w:right="-1126"/>
        <w:jc w:val="both"/>
        <w:rPr>
          <w:rFonts w:ascii="Noto Sans" w:eastAsia="Noto Sans" w:hAnsi="Noto Sans" w:cs="Noto Sans"/>
          <w:color w:val="000000"/>
          <w:sz w:val="22"/>
          <w:szCs w:val="22"/>
        </w:rPr>
      </w:pPr>
      <w:r>
        <w:rPr>
          <w:rFonts w:ascii="Noto Sans" w:eastAsia="Noto Sans" w:hAnsi="Noto Sans" w:cs="Noto Sans"/>
          <w:color w:val="000000"/>
          <w:sz w:val="22"/>
          <w:szCs w:val="22"/>
        </w:rPr>
        <w:t>La Reunión Nacional de Organización del Servicio Universal de Salud congregó a representantes de las 24 entidades federativas participantes, entre ellos secretarias y secretarios estatales de Salud, delegados de Programas para el Bienestar y del IMSS-Bienestar, responsables estatales del SUS y directivos del sector salud. </w:t>
      </w:r>
    </w:p>
    <w:p w14:paraId="37DB7C4A" w14:textId="77777777" w:rsidR="00210F20" w:rsidRDefault="00210F20">
      <w:pPr>
        <w:pBdr>
          <w:top w:val="nil"/>
          <w:left w:val="nil"/>
          <w:bottom w:val="nil"/>
          <w:right w:val="nil"/>
          <w:between w:val="nil"/>
        </w:pBdr>
        <w:ind w:left="-566" w:right="-1126"/>
        <w:jc w:val="both"/>
        <w:rPr>
          <w:rFonts w:ascii="Noto Sans" w:eastAsia="Noto Sans" w:hAnsi="Noto Sans" w:cs="Noto Sans"/>
          <w:color w:val="000000"/>
          <w:sz w:val="22"/>
          <w:szCs w:val="22"/>
        </w:rPr>
      </w:pPr>
    </w:p>
    <w:p w14:paraId="7A3C0363" w14:textId="77777777" w:rsidR="00210F20" w:rsidRDefault="00034A83">
      <w:pPr>
        <w:pBdr>
          <w:top w:val="nil"/>
          <w:left w:val="nil"/>
          <w:bottom w:val="nil"/>
          <w:right w:val="nil"/>
          <w:between w:val="nil"/>
        </w:pBdr>
        <w:ind w:left="-566" w:right="-1126"/>
        <w:jc w:val="both"/>
        <w:rPr>
          <w:rFonts w:ascii="Noto Sans" w:eastAsia="Noto Sans" w:hAnsi="Noto Sans" w:cs="Noto Sans"/>
          <w:color w:val="000000"/>
          <w:sz w:val="22"/>
          <w:szCs w:val="22"/>
        </w:rPr>
      </w:pPr>
      <w:r>
        <w:rPr>
          <w:rFonts w:ascii="Noto Sans" w:eastAsia="Noto Sans" w:hAnsi="Noto Sans" w:cs="Noto Sans"/>
          <w:color w:val="000000"/>
          <w:sz w:val="22"/>
          <w:szCs w:val="22"/>
        </w:rPr>
        <w:t>Durante el encuentro se revisaron los modelos de operación de los Consultorios SUS, su vinculación con Salud Casa por Casa, el modelo territorial, la sistematización de la información y el marco normativo del Servicio Universal de Salud, como parte de los trabajos de coordinación para avanzar en su puesta en marcha. </w:t>
      </w:r>
    </w:p>
    <w:p w14:paraId="6B5AEB5E" w14:textId="77777777" w:rsidR="00210F20" w:rsidRDefault="00210F20">
      <w:pPr>
        <w:pBdr>
          <w:top w:val="nil"/>
          <w:left w:val="nil"/>
          <w:bottom w:val="nil"/>
          <w:right w:val="nil"/>
          <w:between w:val="nil"/>
        </w:pBdr>
        <w:ind w:left="-993" w:right="-1560"/>
        <w:jc w:val="both"/>
        <w:rPr>
          <w:rFonts w:ascii="Noto Sans" w:eastAsia="Noto Sans" w:hAnsi="Noto Sans" w:cs="Noto Sans"/>
          <w:b/>
          <w:bCs/>
          <w:color w:val="000000"/>
          <w:sz w:val="20"/>
          <w:szCs w:val="20"/>
        </w:rPr>
      </w:pPr>
    </w:p>
    <w:p w14:paraId="1A045F79" w14:textId="77777777" w:rsidR="00210F20" w:rsidRDefault="00034A83">
      <w:pPr>
        <w:pBdr>
          <w:top w:val="nil"/>
          <w:left w:val="nil"/>
          <w:bottom w:val="nil"/>
          <w:right w:val="nil"/>
          <w:between w:val="nil"/>
        </w:pBdr>
        <w:ind w:left="-993" w:right="-1560"/>
        <w:jc w:val="center"/>
        <w:rPr>
          <w:rFonts w:ascii="Noto Sans" w:eastAsia="Noto Sans" w:hAnsi="Noto Sans" w:cs="Noto Sans"/>
          <w:b/>
          <w:bCs/>
          <w:color w:val="000000"/>
          <w:sz w:val="20"/>
          <w:szCs w:val="20"/>
        </w:rPr>
      </w:pPr>
      <w:r>
        <w:rPr>
          <w:rFonts w:ascii="Noto Sans" w:eastAsia="Noto Sans" w:hAnsi="Noto Sans" w:cs="Noto Sans"/>
          <w:b/>
          <w:bCs/>
          <w:color w:val="000000"/>
          <w:sz w:val="20"/>
          <w:szCs w:val="20"/>
        </w:rPr>
        <w:t>--oo00oo--</w:t>
      </w:r>
    </w:p>
    <w:p w14:paraId="34CF7535" w14:textId="77777777" w:rsidR="00210F20" w:rsidRDefault="00210F20">
      <w:pPr>
        <w:ind w:left="-567"/>
        <w:jc w:val="both"/>
        <w:rPr>
          <w:sz w:val="20"/>
          <w:szCs w:val="20"/>
        </w:rPr>
      </w:pPr>
    </w:p>
    <w:sectPr w:rsidR="00210F20">
      <w:headerReference w:type="default" r:id="rId8"/>
      <w:footerReference w:type="default" r:id="rId9"/>
      <w:pgSz w:w="12240" w:h="15840"/>
      <w:pgMar w:top="2341" w:right="2177" w:bottom="850" w:left="1700" w:header="1134" w:footer="113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E17FEE" w14:textId="77777777" w:rsidR="00F75B4C" w:rsidRDefault="00F75B4C">
      <w:r>
        <w:separator/>
      </w:r>
    </w:p>
  </w:endnote>
  <w:endnote w:type="continuationSeparator" w:id="0">
    <w:p w14:paraId="7B9E2A01" w14:textId="77777777" w:rsidR="00F75B4C" w:rsidRDefault="00F75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panose1 w:val="020B0604020202020204"/>
    <w:charset w:val="00"/>
    <w:family w:val="swiss"/>
    <w:pitch w:val="variable"/>
    <w:sig w:usb0="E00002FF" w:usb1="4200FDFF" w:usb2="0B040029" w:usb3="00000000" w:csb0="0000019F" w:csb1="00000000"/>
    <w:embedRegular r:id="rId1" w:fontKey="{DBA3C860-DF0F-3942-B8E9-9527A19C100D}"/>
  </w:font>
  <w:font w:name="Courier New">
    <w:panose1 w:val="02070309020205020404"/>
    <w:charset w:val="00"/>
    <w:family w:val="auto"/>
    <w:pitch w:val="default"/>
    <w:embedRegular r:id="rId2" w:fontKey="{F779DEBE-70FA-B547-94C8-029004EAC637}"/>
  </w:font>
  <w:font w:name="Calibri">
    <w:panose1 w:val="020F0502020204030204"/>
    <w:charset w:val="00"/>
    <w:family w:val="swiss"/>
    <w:pitch w:val="variable"/>
    <w:sig w:usb0="E0002AFF" w:usb1="C000ACFF" w:usb2="00000009" w:usb3="00000000" w:csb0="000001FF" w:csb1="00000000"/>
    <w:embedRegular r:id="rId3" w:fontKey="{A804D5B3-63CF-894A-AA0E-BF0053159340}"/>
    <w:embedBold r:id="rId4" w:fontKey="{A0808B10-46F0-4C4A-82FA-736D4EE38B53}"/>
  </w:font>
  <w:font w:name="Times New Roman">
    <w:panose1 w:val="02020603050405020304"/>
    <w:charset w:val="00"/>
    <w:family w:val="roman"/>
    <w:pitch w:val="variable"/>
    <w:sig w:usb0="E0002EFF" w:usb1="C000785B" w:usb2="00000009" w:usb3="00000000" w:csb0="000001FF" w:csb1="00000000"/>
    <w:embedRegular r:id="rId5" w:fontKey="{1CBAF778-4E16-7B46-BBCA-34AA1EA9F7A4}"/>
    <w:embedBold r:id="rId6" w:fontKey="{24349528-04A6-F741-89CC-4CE6F9BF45C0}"/>
  </w:font>
  <w:font w:name="Georgia">
    <w:panose1 w:val="02040502050405020303"/>
    <w:charset w:val="00"/>
    <w:family w:val="roman"/>
    <w:pitch w:val="variable"/>
    <w:sig w:usb0="00000287" w:usb1="00000000" w:usb2="00000000" w:usb3="00000000" w:csb0="0000009F" w:csb1="00000000"/>
    <w:embedItalic r:id="rId7" w:fontKey="{C63715A5-B3AB-264E-B880-F81D6C00F7EF}"/>
  </w:font>
  <w:font w:name="Noto Sans">
    <w:panose1 w:val="020B0502040504020204"/>
    <w:charset w:val="00"/>
    <w:family w:val="swiss"/>
    <w:pitch w:val="variable"/>
    <w:sig w:usb0="E00082FF" w:usb1="400078FF" w:usb2="08000029" w:usb3="00000000" w:csb0="0000019F" w:csb1="00000000"/>
    <w:embedRegular r:id="rId8" w:fontKey="{BD1EA084-A38C-C149-B2E1-ECE55DCE3BF1}"/>
    <w:embedBold r:id="rId9" w:fontKey="{71DEF78D-3713-F149-92B1-5F4496687191}"/>
  </w:font>
  <w:font w:name="Geo">
    <w:panose1 w:val="020B0604020202020204"/>
    <w:charset w:val="00"/>
    <w:family w:val="auto"/>
    <w:pitch w:val="default"/>
    <w:embedRegular r:id="rId10" w:fontKey="{07241C81-F81D-F649-B1D9-3D4B45BD1E02}"/>
    <w:embedBold r:id="rId11" w:fontKey="{EF32DCCC-3E18-5943-8E73-9ABAE7EB9EA8}"/>
  </w:font>
  <w:font w:name="Cambria">
    <w:panose1 w:val="02040503050406030204"/>
    <w:charset w:val="00"/>
    <w:family w:val="roman"/>
    <w:notTrueType/>
    <w:pitch w:val="default"/>
    <w:embedRegular r:id="rId12" w:fontKey="{D5BCEFAB-B415-274F-93B8-D176615FF8D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42CA48" w14:textId="77777777" w:rsidR="00210F20" w:rsidRDefault="00034A83">
    <w:pPr>
      <w:pBdr>
        <w:top w:val="nil"/>
        <w:left w:val="nil"/>
        <w:bottom w:val="nil"/>
        <w:right w:val="nil"/>
        <w:between w:val="nil"/>
      </w:pBdr>
      <w:tabs>
        <w:tab w:val="center" w:pos="4419"/>
        <w:tab w:val="right" w:pos="8838"/>
      </w:tabs>
      <w:rPr>
        <w:color w:val="000000"/>
      </w:rPr>
    </w:pPr>
    <w:r>
      <w:rPr>
        <w:noProof/>
      </w:rPr>
      <mc:AlternateContent>
        <mc:Choice Requires="wps">
          <w:drawing>
            <wp:anchor distT="0" distB="0" distL="114300" distR="114300" simplePos="0" relativeHeight="251659264" behindDoc="0" locked="0" layoutInCell="1" hidden="0" allowOverlap="1" wp14:anchorId="18F077E1" wp14:editId="5C33BA4B">
              <wp:simplePos x="0" y="0"/>
              <wp:positionH relativeFrom="column">
                <wp:posOffset>-731192</wp:posOffset>
              </wp:positionH>
              <wp:positionV relativeFrom="paragraph">
                <wp:posOffset>-114382</wp:posOffset>
              </wp:positionV>
              <wp:extent cx="7028215" cy="247345"/>
              <wp:effectExtent l="0" t="0" r="0" b="0"/>
              <wp:wrapNone/>
              <wp:docPr id="7" name="Rectángulo 7"/>
              <wp:cNvGraphicFramePr/>
              <a:graphic xmlns:a="http://schemas.openxmlformats.org/drawingml/2006/main">
                <a:graphicData uri="http://schemas.microsoft.com/office/word/2010/wordprocessingShape">
                  <wps:wsp>
                    <wps:cNvSpPr/>
                    <wps:spPr>
                      <a:xfrm>
                        <a:off x="1860468" y="3684903"/>
                        <a:ext cx="6971065" cy="190195"/>
                      </a:xfrm>
                      <a:prstGeom prst="rect">
                        <a:avLst/>
                      </a:prstGeom>
                      <a:noFill/>
                      <a:ln>
                        <a:noFill/>
                      </a:ln>
                    </wps:spPr>
                    <wps:txbx>
                      <w:txbxContent>
                        <w:p w14:paraId="04436905" w14:textId="77777777" w:rsidR="00210F20" w:rsidRDefault="00210F20">
                          <w:pPr>
                            <w:textDirection w:val="btLr"/>
                          </w:pPr>
                        </w:p>
                      </w:txbxContent>
                    </wps:txbx>
                    <wps:bodyPr spcFirstLastPara="1" wrap="square" lIns="91425" tIns="45700" rIns="91425" bIns="45700" anchor="t" anchorCtr="0">
                      <a:noAutofit/>
                    </wps:bodyPr>
                  </wps:wsp>
                </a:graphicData>
              </a:graphic>
            </wp:anchor>
          </w:drawing>
        </mc:Choice>
        <mc:Fallback>
          <w:pict>
            <v:rect w14:anchorId="18F077E1" id="Rectángulo 7" o:spid="_x0000_s1026" style="position:absolute;margin-left:-57.55pt;margin-top:-9pt;width:553.4pt;height:1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" filled="f" stroked="f">
              <v:textbox inset="2.53958mm,1.2694mm,2.53958mm,1.2694mm">
                <w:txbxContent>
                  <w:p w14:paraId="04436905" w14:textId="77777777" w:rsidR="00210F20" w:rsidRDefault="00210F20">
                    <w:pPr>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35ACDF" w14:textId="77777777" w:rsidR="00F75B4C" w:rsidRDefault="00F75B4C">
      <w:r>
        <w:separator/>
      </w:r>
    </w:p>
  </w:footnote>
  <w:footnote w:type="continuationSeparator" w:id="0">
    <w:p w14:paraId="12371CBE" w14:textId="77777777" w:rsidR="00F75B4C" w:rsidRDefault="00F75B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03E23A" w14:textId="77777777" w:rsidR="00210F20" w:rsidRDefault="00034A83">
    <w:pPr>
      <w:pBdr>
        <w:top w:val="nil"/>
        <w:left w:val="nil"/>
        <w:bottom w:val="nil"/>
        <w:right w:val="nil"/>
        <w:between w:val="nil"/>
      </w:pBdr>
      <w:tabs>
        <w:tab w:val="center" w:pos="4419"/>
        <w:tab w:val="right" w:pos="8838"/>
      </w:tabs>
      <w:jc w:val="right"/>
      <w:rPr>
        <w:rFonts w:ascii="Geo" w:eastAsia="Geo" w:hAnsi="Geo" w:cs="Geo"/>
        <w:b/>
        <w:bCs/>
        <w:color w:val="595959"/>
        <w:sz w:val="18"/>
        <w:szCs w:val="18"/>
      </w:rPr>
    </w:pPr>
    <w:r>
      <w:rPr>
        <w:rFonts w:ascii="Geo" w:eastAsia="Geo" w:hAnsi="Geo" w:cs="Geo"/>
        <w:b/>
        <w:bCs/>
        <w:noProof/>
        <w:color w:val="595959"/>
        <w:sz w:val="18"/>
        <w:szCs w:val="18"/>
      </w:rPr>
      <w:drawing>
        <wp:anchor distT="0" distB="0" distL="0" distR="0" simplePos="0" relativeHeight="251658240" behindDoc="1" locked="0" layoutInCell="1" hidden="0" allowOverlap="1" wp14:anchorId="06F143E8" wp14:editId="70C6E29C">
          <wp:simplePos x="0" y="0"/>
          <wp:positionH relativeFrom="margin">
            <wp:posOffset>-1079997</wp:posOffset>
          </wp:positionH>
          <wp:positionV relativeFrom="margin">
            <wp:posOffset>-1486796</wp:posOffset>
          </wp:positionV>
          <wp:extent cx="7745025" cy="10021024"/>
          <wp:effectExtent l="0" t="0" r="0" b="0"/>
          <wp:wrapNone/>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 r="5"/>
                  <a:stretch>
                    <a:fillRect/>
                  </a:stretch>
                </pic:blipFill>
                <pic:spPr>
                  <a:xfrm>
                    <a:off x="0" y="0"/>
                    <a:ext cx="7745025" cy="10021024"/>
                  </a:xfrm>
                  <a:prstGeom prst="rect">
                    <a:avLst/>
                  </a:prstGeom>
                  <a:ln/>
                </pic:spPr>
              </pic:pic>
            </a:graphicData>
          </a:graphic>
        </wp:anchor>
      </w:drawing>
    </w:r>
  </w:p>
  <w:p w14:paraId="170A92A1" w14:textId="77777777" w:rsidR="00210F20" w:rsidRDefault="00210F20">
    <w:pPr>
      <w:pBdr>
        <w:top w:val="nil"/>
        <w:left w:val="nil"/>
        <w:bottom w:val="nil"/>
        <w:right w:val="nil"/>
        <w:between w:val="nil"/>
      </w:pBdr>
      <w:tabs>
        <w:tab w:val="center" w:pos="4419"/>
        <w:tab w:val="right" w:pos="8838"/>
      </w:tabs>
      <w:jc w:val="right"/>
      <w:rPr>
        <w:rFonts w:ascii="Geo" w:eastAsia="Geo" w:hAnsi="Geo" w:cs="Geo"/>
        <w:b/>
        <w:bCs/>
        <w:color w:val="595959"/>
        <w:sz w:val="18"/>
        <w:szCs w:val="18"/>
      </w:rPr>
    </w:pPr>
  </w:p>
  <w:p w14:paraId="0BA7EFE0" w14:textId="77777777" w:rsidR="00210F20" w:rsidRDefault="00210F20">
    <w:pPr>
      <w:pBdr>
        <w:top w:val="nil"/>
        <w:left w:val="nil"/>
        <w:bottom w:val="nil"/>
        <w:right w:val="nil"/>
        <w:between w:val="nil"/>
      </w:pBdr>
      <w:tabs>
        <w:tab w:val="center" w:pos="4419"/>
        <w:tab w:val="right" w:pos="8838"/>
      </w:tabs>
      <w:jc w:val="right"/>
      <w:rPr>
        <w:rFonts w:ascii="Geo" w:eastAsia="Geo" w:hAnsi="Geo" w:cs="Geo"/>
        <w:b/>
        <w:bCs/>
        <w:color w:val="595959"/>
        <w:sz w:val="18"/>
        <w:szCs w:val="18"/>
      </w:rPr>
    </w:pPr>
  </w:p>
  <w:p w14:paraId="44AA1F7E" w14:textId="77777777" w:rsidR="00210F20" w:rsidRDefault="00210F20">
    <w:pPr>
      <w:pBdr>
        <w:top w:val="nil"/>
        <w:left w:val="nil"/>
        <w:bottom w:val="nil"/>
        <w:right w:val="nil"/>
        <w:between w:val="nil"/>
      </w:pBdr>
      <w:tabs>
        <w:tab w:val="center" w:pos="4419"/>
        <w:tab w:val="right" w:pos="8838"/>
      </w:tabs>
      <w:jc w:val="right"/>
      <w:rPr>
        <w:rFonts w:ascii="Geo" w:eastAsia="Geo" w:hAnsi="Geo" w:cs="Geo"/>
        <w:b/>
        <w:bCs/>
        <w:color w:val="595959"/>
        <w:sz w:val="18"/>
        <w:szCs w:val="18"/>
      </w:rPr>
    </w:pPr>
  </w:p>
  <w:p w14:paraId="4D870AAD" w14:textId="77777777" w:rsidR="00210F20" w:rsidRDefault="00210F20">
    <w:pPr>
      <w:pBdr>
        <w:top w:val="nil"/>
        <w:left w:val="nil"/>
        <w:bottom w:val="nil"/>
        <w:right w:val="nil"/>
        <w:between w:val="nil"/>
      </w:pBdr>
      <w:tabs>
        <w:tab w:val="center" w:pos="4419"/>
        <w:tab w:val="right" w:pos="8838"/>
      </w:tabs>
      <w:jc w:val="right"/>
      <w:rPr>
        <w:rFonts w:ascii="Geo" w:eastAsia="Geo" w:hAnsi="Geo" w:cs="Geo"/>
        <w:b/>
        <w:bCs/>
        <w:color w:val="595959"/>
        <w:sz w:val="18"/>
        <w:szCs w:val="18"/>
      </w:rPr>
    </w:pPr>
  </w:p>
  <w:p w14:paraId="50B169E3" w14:textId="77777777" w:rsidR="00210F20" w:rsidRDefault="00210F20">
    <w:pPr>
      <w:pBdr>
        <w:top w:val="nil"/>
        <w:left w:val="nil"/>
        <w:bottom w:val="nil"/>
        <w:right w:val="nil"/>
        <w:between w:val="nil"/>
      </w:pBdr>
      <w:tabs>
        <w:tab w:val="center" w:pos="4419"/>
        <w:tab w:val="right" w:pos="8838"/>
      </w:tabs>
      <w:jc w:val="right"/>
      <w:rPr>
        <w:rFonts w:ascii="Geo" w:eastAsia="Geo" w:hAnsi="Geo" w:cs="Geo"/>
        <w:b/>
        <w:bCs/>
        <w:color w:val="595959"/>
        <w:sz w:val="18"/>
        <w:szCs w:val="18"/>
      </w:rPr>
    </w:pPr>
  </w:p>
  <w:p w14:paraId="4137F78A" w14:textId="77777777" w:rsidR="00210F20" w:rsidRDefault="00034A83">
    <w:pPr>
      <w:pBdr>
        <w:top w:val="nil"/>
        <w:left w:val="nil"/>
        <w:bottom w:val="nil"/>
        <w:right w:val="nil"/>
        <w:between w:val="nil"/>
      </w:pBdr>
      <w:tabs>
        <w:tab w:val="center" w:pos="4419"/>
        <w:tab w:val="right" w:pos="8838"/>
        <w:tab w:val="right" w:pos="8505"/>
      </w:tabs>
      <w:ind w:left="142"/>
      <w:jc w:val="right"/>
      <w:rPr>
        <w:rFonts w:ascii="Geo" w:eastAsia="Geo" w:hAnsi="Geo" w:cs="Geo"/>
        <w:color w:val="000000"/>
      </w:rPr>
    </w:pPr>
    <w:r>
      <w:rPr>
        <w:rFonts w:ascii="Geo" w:eastAsia="Geo" w:hAnsi="Geo" w:cs="Geo"/>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F745E"/>
    <w:multiLevelType w:val="multilevel"/>
    <w:tmpl w:val="FFFFFFFF"/>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00594130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F20"/>
    <w:rsid w:val="00034A83"/>
    <w:rsid w:val="00210F20"/>
    <w:rsid w:val="004369D0"/>
    <w:rsid w:val="005A0CDA"/>
    <w:rsid w:val="00A26537"/>
    <w:rsid w:val="00F75B4C"/>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ecimalSymbol w:val="."/>
  <w:listSeparator w:val=","/>
  <w14:docId w14:val="22169F68"/>
  <w15:docId w15:val="{FC74F13F-9071-6749-A8E0-05D6047F6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NormalWeb">
    <w:name w:val="Normal (Web)"/>
    <w:basedOn w:val="Normal"/>
    <w:uiPriority w:val="99"/>
    <w:unhideWhenUsed/>
    <w:rsid w:val="0064525A"/>
    <w:pPr>
      <w:spacing w:before="100" w:beforeAutospacing="1" w:after="100" w:afterAutospacing="1"/>
    </w:pPr>
    <w:rPr>
      <w:rFonts w:ascii="Times New Roman" w:eastAsia="Times New Roman" w:hAnsi="Times New Roman" w:cs="Times New Roman"/>
      <w:lang w:val="en-US"/>
    </w:rPr>
  </w:style>
  <w:style w:type="paragraph" w:styleId="Encabezado">
    <w:name w:val="header"/>
    <w:basedOn w:val="Normal"/>
    <w:link w:val="EncabezadoCar"/>
    <w:uiPriority w:val="99"/>
    <w:unhideWhenUsed/>
    <w:rsid w:val="0064525A"/>
    <w:pPr>
      <w:tabs>
        <w:tab w:val="center" w:pos="4419"/>
        <w:tab w:val="right" w:pos="8838"/>
      </w:tabs>
    </w:pPr>
  </w:style>
  <w:style w:type="character" w:customStyle="1" w:styleId="EncabezadoCar">
    <w:name w:val="Encabezado Car"/>
    <w:basedOn w:val="Fuentedeprrafopredeter"/>
    <w:link w:val="Encabezado"/>
    <w:uiPriority w:val="99"/>
    <w:rsid w:val="0064525A"/>
  </w:style>
  <w:style w:type="paragraph" w:styleId="Piedepgina">
    <w:name w:val="footer"/>
    <w:basedOn w:val="Normal"/>
    <w:link w:val="PiedepginaCar"/>
    <w:uiPriority w:val="99"/>
    <w:unhideWhenUsed/>
    <w:rsid w:val="0064525A"/>
    <w:pPr>
      <w:tabs>
        <w:tab w:val="center" w:pos="4419"/>
        <w:tab w:val="right" w:pos="8838"/>
      </w:tabs>
    </w:pPr>
  </w:style>
  <w:style w:type="character" w:customStyle="1" w:styleId="PiedepginaCar">
    <w:name w:val="Pie de página Car"/>
    <w:basedOn w:val="Fuentedeprrafopredeter"/>
    <w:link w:val="Piedepgina"/>
    <w:uiPriority w:val="99"/>
    <w:rsid w:val="0064525A"/>
  </w:style>
  <w:style w:type="character" w:styleId="Fuerte">
    <w:name w:val="Strong"/>
    <w:basedOn w:val="Fuentedeprrafopredeter"/>
    <w:uiPriority w:val="22"/>
    <w:qFormat/>
    <w:rsid w:val="00B87655"/>
    <w:rPr>
      <w:b/>
      <w:bCs/>
    </w:rPr>
  </w:style>
  <w:style w:type="character" w:customStyle="1" w:styleId="apple-converted-space">
    <w:name w:val="apple-converted-space"/>
    <w:basedOn w:val="Fuentedeprrafopredeter"/>
    <w:rsid w:val="00B87655"/>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fb1q2x41j7fdV0DPUzSDKHR+Qg==">CgMxLjA4AHIhMVJQaVppdXc4WGJVZVJxVjVJMDJ4ZzRzOEJjWFpiRkJ5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730</Words>
  <Characters>4017</Characters>
  <Application>Microsoft Office Word</Application>
  <DocSecurity>0</DocSecurity>
  <Lines>33</Lines>
  <Paragraphs>9</Paragraphs>
  <ScaleCrop>false</ScaleCrop>
  <Company/>
  <LinksUpToDate>false</LinksUpToDate>
  <CharactersWithSpaces>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Itzel Barajas Urias</dc:creator>
  <cp:lastModifiedBy>Patricia Serrano</cp:lastModifiedBy>
  <cp:revision>3</cp:revision>
  <dcterms:created xsi:type="dcterms:W3CDTF">2026-09-29T00:24:00Z</dcterms:created>
  <dcterms:modified xsi:type="dcterms:W3CDTF">2026-09-29T00:31:00Z</dcterms:modified>
</cp:coreProperties>
</file>