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B223108" w14:textId="77777777" w:rsidR="006F17A3" w:rsidRPr="00CF0415" w:rsidRDefault="00A36CAC">
      <w:pPr>
        <w:spacing w:line="360" w:lineRule="auto"/>
        <w:jc w:val="both"/>
        <w:rPr>
          <w:rFonts w:ascii="Noto Sans" w:hAnsi="Noto Sans" w:cs="Noto Sans"/>
          <w:color w:val="000000" w:themeColor="text1"/>
          <w:sz w:val="19"/>
          <w:szCs w:val="19"/>
          <w:lang w:val="es-MX"/>
        </w:rPr>
      </w:pPr>
      <w:r w:rsidRPr="00CF0415">
        <w:rPr>
          <w:noProof/>
          <w:color w:val="000000" w:themeColor="text1"/>
        </w:rPr>
        <mc:AlternateContent>
          <mc:Choice Requires="wps">
            <w:drawing>
              <wp:anchor distT="0" distB="9525" distL="113665" distR="124460" simplePos="0" relativeHeight="251658752" behindDoc="0" locked="0" layoutInCell="0" allowOverlap="1" wp14:anchorId="007A4EF5" wp14:editId="6F33C7BF">
                <wp:simplePos x="0" y="0"/>
                <wp:positionH relativeFrom="column">
                  <wp:posOffset>2977515</wp:posOffset>
                </wp:positionH>
                <wp:positionV relativeFrom="paragraph">
                  <wp:posOffset>635</wp:posOffset>
                </wp:positionV>
                <wp:extent cx="3418205" cy="638175"/>
                <wp:effectExtent l="635" t="635" r="0" b="0"/>
                <wp:wrapSquare wrapText="bothSides"/>
                <wp:docPr id="1" name="Text Box 2"/>
                <wp:cNvGraphicFramePr/>
                <a:graphic xmlns:a="http://schemas.openxmlformats.org/drawingml/2006/main">
                  <a:graphicData uri="http://schemas.microsoft.com/office/word/2010/wordprocessingShape">
                    <wps:wsp>
                      <wps:cNvSpPr/>
                      <wps:spPr>
                        <a:xfrm>
                          <a:off x="0" y="0"/>
                          <a:ext cx="3418200" cy="638280"/>
                        </a:xfrm>
                        <a:prstGeom prst="rect">
                          <a:avLst/>
                        </a:prstGeom>
                        <a:noFill/>
                        <a:ln w="0">
                          <a:noFill/>
                        </a:ln>
                      </wps:spPr>
                      <wps:style>
                        <a:lnRef idx="0">
                          <a:scrgbClr r="0" g="0" b="0"/>
                        </a:lnRef>
                        <a:fillRef idx="0">
                          <a:scrgbClr r="0" g="0" b="0"/>
                        </a:fillRef>
                        <a:effectRef idx="0">
                          <a:scrgbClr r="0" g="0" b="0"/>
                        </a:effectRef>
                        <a:fontRef idx="minor"/>
                      </wps:style>
                      <wps:txbx>
                        <w:txbxContent>
                          <w:p w14:paraId="73E17D3A" w14:textId="496BA79E" w:rsidR="006F17A3" w:rsidRDefault="00A36CAC">
                            <w:pPr>
                              <w:pStyle w:val="Contenidodelmarco"/>
                              <w:spacing w:before="120" w:after="40" w:line="220" w:lineRule="exact"/>
                              <w:jc w:val="right"/>
                              <w:rPr>
                                <w:rFonts w:ascii="Noto Sans" w:hAnsi="Noto Sans" w:cs="Noto Sans"/>
                                <w:color w:val="BA8C54"/>
                                <w:sz w:val="28"/>
                                <w:szCs w:val="28"/>
                              </w:rPr>
                            </w:pPr>
                            <w:r>
                              <w:rPr>
                                <w:rFonts w:ascii="Noto Sans" w:hAnsi="Noto Sans" w:cs="Noto Sans"/>
                                <w:color w:val="BA8C54"/>
                                <w:sz w:val="28"/>
                                <w:szCs w:val="28"/>
                              </w:rPr>
                              <w:t xml:space="preserve">BOLETÍN </w:t>
                            </w:r>
                            <w:r w:rsidR="00DA5642">
                              <w:rPr>
                                <w:rFonts w:ascii="Noto Sans" w:hAnsi="Noto Sans" w:cs="Noto Sans"/>
                                <w:color w:val="BA8C54"/>
                                <w:sz w:val="28"/>
                                <w:szCs w:val="28"/>
                              </w:rPr>
                              <w:t>CONJUNTO</w:t>
                            </w:r>
                          </w:p>
                          <w:p w14:paraId="2C8DFFF9" w14:textId="77777777" w:rsidR="006F17A3" w:rsidRDefault="00A36CAC">
                            <w:pPr>
                              <w:pStyle w:val="Contenidodelmarco"/>
                              <w:spacing w:before="120" w:after="40" w:line="220" w:lineRule="exact"/>
                              <w:jc w:val="right"/>
                              <w:rPr>
                                <w:rFonts w:ascii="Noto Sans" w:hAnsi="Noto Sans" w:cs="Noto Sans"/>
                                <w:sz w:val="20"/>
                                <w:szCs w:val="20"/>
                              </w:rPr>
                            </w:pPr>
                            <w:r>
                              <w:rPr>
                                <w:rFonts w:ascii="Noto Sans" w:eastAsia="Montserrat Medium" w:hAnsi="Noto Sans" w:cs="Noto Sans"/>
                                <w:sz w:val="20"/>
                                <w:szCs w:val="20"/>
                              </w:rPr>
                              <w:t>Ciudad de México, jueves 27 de marzo de 2025</w:t>
                            </w:r>
                            <w:r>
                              <w:rPr>
                                <w:rFonts w:ascii="Noto Sans" w:hAnsi="Noto Sans" w:cs="Noto Sans"/>
                                <w:sz w:val="20"/>
                                <w:szCs w:val="20"/>
                              </w:rPr>
                              <w:t xml:space="preserve"> </w:t>
                            </w:r>
                          </w:p>
                          <w:p w14:paraId="5EA1CE7E" w14:textId="5BE5B3A3" w:rsidR="006F17A3" w:rsidRDefault="00A36CAC">
                            <w:pPr>
                              <w:pStyle w:val="Contenidodelmarco"/>
                              <w:spacing w:before="120" w:after="40" w:line="220" w:lineRule="exact"/>
                              <w:jc w:val="right"/>
                              <w:rPr>
                                <w:rFonts w:ascii="Noto Sans" w:hAnsi="Noto Sans" w:cs="Noto Sans"/>
                                <w:sz w:val="20"/>
                                <w:szCs w:val="20"/>
                              </w:rPr>
                            </w:pPr>
                            <w:r>
                              <w:rPr>
                                <w:rFonts w:ascii="Noto Sans" w:hAnsi="Noto Sans" w:cs="Noto Sans"/>
                                <w:sz w:val="20"/>
                                <w:szCs w:val="20"/>
                              </w:rPr>
                              <w:t>No.</w:t>
                            </w:r>
                            <w:r w:rsidR="00977C38">
                              <w:rPr>
                                <w:rFonts w:ascii="Noto Sans" w:hAnsi="Noto Sans" w:cs="Noto Sans"/>
                                <w:sz w:val="20"/>
                                <w:szCs w:val="20"/>
                              </w:rPr>
                              <w:t>157</w:t>
                            </w:r>
                            <w:r>
                              <w:rPr>
                                <w:rFonts w:ascii="Noto Sans" w:hAnsi="Noto Sans" w:cs="Noto Sans"/>
                                <w:sz w:val="20"/>
                                <w:szCs w:val="20"/>
                              </w:rPr>
                              <w:t>/2025</w:t>
                            </w:r>
                          </w:p>
                        </w:txbxContent>
                      </wps:txbx>
                      <wps:bodyPr lIns="0" tIns="0" rIns="0" bIns="0" anchor="t">
                        <a:prstTxWarp prst="textNoShape">
                          <a:avLst/>
                        </a:prstTxWarp>
                        <a:noAutofit/>
                      </wps:bodyPr>
                    </wps:wsp>
                  </a:graphicData>
                </a:graphic>
              </wp:anchor>
            </w:drawing>
          </mc:Choice>
          <mc:Fallback>
            <w:pict>
              <v:rect w14:anchorId="007A4EF5" id="Text Box 2" o:spid="_x0000_s1026" style="position:absolute;left:0;text-align:left;margin-left:234.45pt;margin-top:.05pt;width:269.15pt;height:50.25pt;z-index:251658752;visibility:visible;mso-wrap-style:square;mso-wrap-distance-left:8.95pt;mso-wrap-distance-top:0;mso-wrap-distance-right:9.8pt;mso-wrap-distance-bottom:.75pt;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" o:allowincell="f" filled="f" stroked="f" strokeweight="0">
                <v:textbox inset="0,0,0,0">
                  <w:txbxContent>
                    <w:p w14:paraId="73E17D3A" w14:textId="496BA79E" w:rsidR="006F17A3" w:rsidRDefault="00A36CAC">
                      <w:pPr>
                        <w:pStyle w:val="Contenidodelmarco"/>
                        <w:spacing w:before="120" w:after="40" w:line="220" w:lineRule="exact"/>
                        <w:jc w:val="right"/>
                        <w:rPr>
                          <w:rFonts w:ascii="Noto Sans" w:hAnsi="Noto Sans" w:cs="Noto Sans"/>
                          <w:color w:val="BA8C54"/>
                          <w:sz w:val="28"/>
                          <w:szCs w:val="28"/>
                        </w:rPr>
                      </w:pPr>
                      <w:r>
                        <w:rPr>
                          <w:rFonts w:ascii="Noto Sans" w:hAnsi="Noto Sans" w:cs="Noto Sans"/>
                          <w:color w:val="BA8C54"/>
                          <w:sz w:val="28"/>
                          <w:szCs w:val="28"/>
                        </w:rPr>
                        <w:t xml:space="preserve">BOLETÍN </w:t>
                      </w:r>
                      <w:r w:rsidR="00DA5642">
                        <w:rPr>
                          <w:rFonts w:ascii="Noto Sans" w:hAnsi="Noto Sans" w:cs="Noto Sans"/>
                          <w:color w:val="BA8C54"/>
                          <w:sz w:val="28"/>
                          <w:szCs w:val="28"/>
                        </w:rPr>
                        <w:t>CONJUNTO</w:t>
                      </w:r>
                    </w:p>
                    <w:p w14:paraId="2C8DFFF9" w14:textId="77777777" w:rsidR="006F17A3" w:rsidRDefault="00A36CAC">
                      <w:pPr>
                        <w:pStyle w:val="Contenidodelmarco"/>
                        <w:spacing w:before="120" w:after="40" w:line="220" w:lineRule="exact"/>
                        <w:jc w:val="right"/>
                        <w:rPr>
                          <w:rFonts w:ascii="Noto Sans" w:hAnsi="Noto Sans" w:cs="Noto Sans"/>
                          <w:sz w:val="20"/>
                          <w:szCs w:val="20"/>
                        </w:rPr>
                      </w:pPr>
                      <w:r>
                        <w:rPr>
                          <w:rFonts w:ascii="Noto Sans" w:eastAsia="Montserrat Medium" w:hAnsi="Noto Sans" w:cs="Noto Sans"/>
                          <w:sz w:val="20"/>
                          <w:szCs w:val="20"/>
                        </w:rPr>
                        <w:t>Ciudad de México, jueves 27 de marzo de 2025</w:t>
                      </w:r>
                      <w:r>
                        <w:rPr>
                          <w:rFonts w:ascii="Noto Sans" w:hAnsi="Noto Sans" w:cs="Noto Sans"/>
                          <w:sz w:val="20"/>
                          <w:szCs w:val="20"/>
                        </w:rPr>
                        <w:t xml:space="preserve"> </w:t>
                      </w:r>
                    </w:p>
                    <w:p w14:paraId="5EA1CE7E" w14:textId="5BE5B3A3" w:rsidR="006F17A3" w:rsidRDefault="00A36CAC">
                      <w:pPr>
                        <w:pStyle w:val="Contenidodelmarco"/>
                        <w:spacing w:before="120" w:after="40" w:line="220" w:lineRule="exact"/>
                        <w:jc w:val="right"/>
                        <w:rPr>
                          <w:rFonts w:ascii="Noto Sans" w:hAnsi="Noto Sans" w:cs="Noto Sans"/>
                          <w:sz w:val="20"/>
                          <w:szCs w:val="20"/>
                        </w:rPr>
                      </w:pPr>
                      <w:r>
                        <w:rPr>
                          <w:rFonts w:ascii="Noto Sans" w:hAnsi="Noto Sans" w:cs="Noto Sans"/>
                          <w:sz w:val="20"/>
                          <w:szCs w:val="20"/>
                        </w:rPr>
                        <w:t>No.</w:t>
                      </w:r>
                      <w:r w:rsidR="00977C38">
                        <w:rPr>
                          <w:rFonts w:ascii="Noto Sans" w:hAnsi="Noto Sans" w:cs="Noto Sans"/>
                          <w:sz w:val="20"/>
                          <w:szCs w:val="20"/>
                        </w:rPr>
                        <w:t>157</w:t>
                      </w:r>
                      <w:r>
                        <w:rPr>
                          <w:rFonts w:ascii="Noto Sans" w:hAnsi="Noto Sans" w:cs="Noto Sans"/>
                          <w:sz w:val="20"/>
                          <w:szCs w:val="20"/>
                        </w:rPr>
                        <w:t>/2025</w:t>
                      </w:r>
                    </w:p>
                  </w:txbxContent>
                </v:textbox>
                <w10:wrap type="square"/>
              </v:rect>
            </w:pict>
          </mc:Fallback>
        </mc:AlternateContent>
      </w:r>
      <w:r w:rsidRPr="00CF0415">
        <w:rPr>
          <w:rFonts w:ascii="Geomanist" w:hAnsi="Geomanist"/>
          <w:color w:val="000000" w:themeColor="text1"/>
          <w:sz w:val="21"/>
          <w:szCs w:val="21"/>
          <w:lang w:val="es-MX"/>
        </w:rPr>
        <w:t xml:space="preserve"> </w:t>
      </w:r>
    </w:p>
    <w:p w14:paraId="49BFDDDE" w14:textId="77777777" w:rsidR="006F17A3" w:rsidRPr="00CF0415" w:rsidRDefault="006F17A3">
      <w:pPr>
        <w:spacing w:line="360" w:lineRule="auto"/>
        <w:jc w:val="both"/>
        <w:rPr>
          <w:rFonts w:ascii="Noto Sans" w:hAnsi="Noto Sans" w:cs="Noto Sans"/>
          <w:color w:val="000000" w:themeColor="text1"/>
          <w:sz w:val="19"/>
          <w:szCs w:val="19"/>
          <w:lang w:val="es-MX"/>
        </w:rPr>
      </w:pPr>
    </w:p>
    <w:p w14:paraId="60AF5EF2" w14:textId="77777777" w:rsidR="006F17A3" w:rsidRPr="00CF0415" w:rsidRDefault="006F17A3">
      <w:pPr>
        <w:spacing w:line="360" w:lineRule="auto"/>
        <w:jc w:val="both"/>
        <w:rPr>
          <w:rFonts w:ascii="Noto Sans" w:hAnsi="Noto Sans" w:cs="Noto Sans"/>
          <w:color w:val="000000" w:themeColor="text1"/>
          <w:sz w:val="19"/>
          <w:szCs w:val="19"/>
          <w:lang w:val="es-MX"/>
        </w:rPr>
      </w:pPr>
    </w:p>
    <w:p w14:paraId="42DA46D3" w14:textId="3E9197A4" w:rsidR="006F17A3" w:rsidRPr="00CF0415" w:rsidRDefault="00A36CAC">
      <w:pPr>
        <w:pStyle w:val="Prrafodelista"/>
        <w:ind w:left="0" w:firstLine="426"/>
        <w:jc w:val="center"/>
        <w:rPr>
          <w:rFonts w:ascii="Noto Sans" w:hAnsi="Noto Sans" w:cs="Noto Sans"/>
          <w:b/>
          <w:bCs/>
          <w:color w:val="000000" w:themeColor="text1"/>
          <w:spacing w:val="-2"/>
          <w:sz w:val="32"/>
          <w:szCs w:val="32"/>
        </w:rPr>
      </w:pPr>
      <w:r w:rsidRPr="00CF0415">
        <w:rPr>
          <w:rFonts w:ascii="Noto Sans" w:hAnsi="Noto Sans" w:cs="Noto Sans"/>
          <w:b/>
          <w:bCs/>
          <w:color w:val="000000" w:themeColor="text1"/>
          <w:spacing w:val="-2"/>
          <w:sz w:val="32"/>
          <w:szCs w:val="32"/>
        </w:rPr>
        <w:t>Firman Claudia Curiel y Zoé Robledo convenio</w:t>
      </w:r>
      <w:r w:rsidR="00CF0415">
        <w:rPr>
          <w:rFonts w:ascii="Noto Sans" w:hAnsi="Noto Sans" w:cs="Noto Sans"/>
          <w:b/>
          <w:bCs/>
          <w:color w:val="000000" w:themeColor="text1"/>
          <w:spacing w:val="-2"/>
          <w:sz w:val="32"/>
          <w:szCs w:val="32"/>
        </w:rPr>
        <w:t xml:space="preserve"> para la</w:t>
      </w:r>
      <w:r w:rsidRPr="00CF0415">
        <w:rPr>
          <w:rFonts w:ascii="Noto Sans" w:hAnsi="Noto Sans" w:cs="Noto Sans"/>
          <w:b/>
          <w:bCs/>
          <w:color w:val="000000" w:themeColor="text1"/>
          <w:spacing w:val="-2"/>
          <w:sz w:val="32"/>
          <w:szCs w:val="32"/>
        </w:rPr>
        <w:t xml:space="preserve"> Convocatoria Nacional Escenarios IMSS–Cultura 2025-2026</w:t>
      </w:r>
    </w:p>
    <w:p w14:paraId="4ADBEF7C" w14:textId="77777777" w:rsidR="006F17A3" w:rsidRPr="00CF0415" w:rsidRDefault="006F17A3">
      <w:pPr>
        <w:pStyle w:val="Prrafodelista"/>
        <w:ind w:left="0" w:firstLine="426"/>
        <w:jc w:val="both"/>
        <w:rPr>
          <w:rFonts w:ascii="Noto Sans" w:hAnsi="Noto Sans" w:cs="Noto Sans"/>
          <w:color w:val="000000" w:themeColor="text1"/>
          <w:sz w:val="22"/>
          <w:szCs w:val="22"/>
        </w:rPr>
      </w:pPr>
    </w:p>
    <w:p w14:paraId="727F31EC" w14:textId="77777777" w:rsidR="006F17A3" w:rsidRPr="00CF0415" w:rsidRDefault="00A36CAC">
      <w:pPr>
        <w:pStyle w:val="Prrafodelista"/>
        <w:numPr>
          <w:ilvl w:val="0"/>
          <w:numId w:val="1"/>
        </w:numPr>
        <w:ind w:left="567"/>
        <w:jc w:val="both"/>
        <w:rPr>
          <w:rFonts w:ascii="Noto Sans" w:hAnsi="Noto Sans" w:cs="Noto Sans"/>
          <w:b/>
          <w:bCs/>
          <w:color w:val="000000" w:themeColor="text1"/>
          <w:sz w:val="20"/>
          <w:szCs w:val="20"/>
        </w:rPr>
      </w:pPr>
      <w:r w:rsidRPr="00CF0415">
        <w:rPr>
          <w:rFonts w:ascii="Noto Sans" w:hAnsi="Noto Sans" w:cs="Noto Sans"/>
          <w:b/>
          <w:bCs/>
          <w:color w:val="000000" w:themeColor="text1"/>
          <w:sz w:val="20"/>
          <w:szCs w:val="20"/>
        </w:rPr>
        <w:t xml:space="preserve">El director general del Seguro Social destacó que este </w:t>
      </w:r>
      <w:r w:rsidRPr="00CF0415">
        <w:rPr>
          <w:rFonts w:ascii="Noto Sans" w:hAnsi="Noto Sans" w:cs="Noto Sans"/>
          <w:b/>
          <w:bCs/>
          <w:color w:val="000000" w:themeColor="text1"/>
          <w:sz w:val="20"/>
          <w:szCs w:val="20"/>
        </w:rPr>
        <w:t>convenio busca enriquecer la oferta cultural y artística del país y activar los 25 teatros institucionales.</w:t>
      </w:r>
    </w:p>
    <w:p w14:paraId="14AB2EB0" w14:textId="77777777" w:rsidR="006F17A3" w:rsidRPr="00CF0415" w:rsidRDefault="00A36CAC">
      <w:pPr>
        <w:pStyle w:val="Prrafodelista"/>
        <w:numPr>
          <w:ilvl w:val="0"/>
          <w:numId w:val="1"/>
        </w:numPr>
        <w:ind w:left="567"/>
        <w:jc w:val="both"/>
        <w:rPr>
          <w:rFonts w:ascii="Noto Sans" w:hAnsi="Noto Sans" w:cs="Noto Sans"/>
          <w:color w:val="000000" w:themeColor="text1"/>
          <w:sz w:val="20"/>
          <w:szCs w:val="20"/>
        </w:rPr>
      </w:pPr>
      <w:r w:rsidRPr="00CF0415">
        <w:rPr>
          <w:rFonts w:ascii="Noto Sans" w:hAnsi="Noto Sans" w:cs="Noto Sans"/>
          <w:b/>
          <w:bCs/>
          <w:color w:val="000000" w:themeColor="text1"/>
          <w:sz w:val="20"/>
          <w:szCs w:val="20"/>
        </w:rPr>
        <w:t xml:space="preserve">La secretaria de Cultura indicó que es prioridad del gobierno federal </w:t>
      </w:r>
      <w:r w:rsidRPr="00CF0415">
        <w:rPr>
          <w:rFonts w:ascii="Noto Sans" w:hAnsi="Noto Sans" w:cs="Noto Sans"/>
          <w:b/>
          <w:bCs/>
          <w:color w:val="000000" w:themeColor="text1"/>
          <w:spacing w:val="-2"/>
          <w:sz w:val="20"/>
          <w:szCs w:val="20"/>
        </w:rPr>
        <w:t>el bienestar social y emocional en un trabajo entre cultura y salud.</w:t>
      </w:r>
    </w:p>
    <w:p w14:paraId="062AC479" w14:textId="77777777" w:rsidR="006F17A3" w:rsidRPr="00CF0415" w:rsidRDefault="00A36CAC">
      <w:pPr>
        <w:pStyle w:val="Prrafodelista"/>
        <w:numPr>
          <w:ilvl w:val="0"/>
          <w:numId w:val="1"/>
        </w:numPr>
        <w:ind w:left="567"/>
        <w:jc w:val="both"/>
        <w:rPr>
          <w:rFonts w:ascii="Noto Sans" w:hAnsi="Noto Sans" w:cs="Noto Sans"/>
          <w:b/>
          <w:bCs/>
          <w:color w:val="000000" w:themeColor="text1"/>
          <w:sz w:val="20"/>
          <w:szCs w:val="20"/>
        </w:rPr>
      </w:pPr>
      <w:r w:rsidRPr="00CF0415">
        <w:rPr>
          <w:rFonts w:ascii="Noto Sans" w:hAnsi="Noto Sans" w:cs="Noto Sans"/>
          <w:b/>
          <w:bCs/>
          <w:color w:val="000000" w:themeColor="text1"/>
          <w:sz w:val="20"/>
          <w:szCs w:val="20"/>
        </w:rPr>
        <w:t>La convocatoria tiene un fondo de 30 millones de pesos para fortalecer la vocación social de la Red Teatral del IMSS y fomentar la creación de compañías independientes.</w:t>
      </w:r>
    </w:p>
    <w:p w14:paraId="31C001B7" w14:textId="77777777" w:rsidR="006F17A3" w:rsidRPr="00CF0415" w:rsidRDefault="006F17A3">
      <w:pPr>
        <w:jc w:val="both"/>
        <w:rPr>
          <w:rFonts w:ascii="Noto Sans" w:hAnsi="Noto Sans" w:cs="Noto Sans"/>
          <w:color w:val="000000" w:themeColor="text1"/>
          <w:sz w:val="22"/>
          <w:szCs w:val="22"/>
        </w:rPr>
      </w:pPr>
    </w:p>
    <w:p w14:paraId="2E0EA651" w14:textId="2CE79CF5" w:rsidR="006F17A3" w:rsidRPr="00CF0415" w:rsidRDefault="00A36CAC">
      <w:pPr>
        <w:jc w:val="both"/>
        <w:rPr>
          <w:rFonts w:ascii="Noto Sans" w:hAnsi="Noto Sans" w:cs="Noto Sans"/>
          <w:color w:val="000000" w:themeColor="text1"/>
          <w:spacing w:val="-2"/>
          <w:sz w:val="20"/>
          <w:szCs w:val="20"/>
        </w:rPr>
      </w:pPr>
      <w:r w:rsidRPr="00CF0415">
        <w:rPr>
          <w:rFonts w:ascii="Noto Sans" w:hAnsi="Noto Sans" w:cs="Noto Sans"/>
          <w:color w:val="000000" w:themeColor="text1"/>
          <w:spacing w:val="-2"/>
          <w:sz w:val="20"/>
          <w:szCs w:val="20"/>
        </w:rPr>
        <w:t>La secretaria de Cultura, Claudia Curiel de Icaza, y el director general del Instituto Mexicano del Seguro Social (IMSS), Zoé Robledo Aburto,</w:t>
      </w:r>
      <w:r w:rsidR="00B33C11" w:rsidRPr="00CF0415">
        <w:rPr>
          <w:rFonts w:ascii="Noto Sans" w:hAnsi="Noto Sans" w:cs="Noto Sans"/>
          <w:color w:val="000000" w:themeColor="text1"/>
          <w:spacing w:val="-2"/>
          <w:sz w:val="20"/>
          <w:szCs w:val="20"/>
        </w:rPr>
        <w:t xml:space="preserve"> firmaron el convenio marco de colaboración “Escenarios IMSS-Cultura”,</w:t>
      </w:r>
      <w:r w:rsidRPr="00CF0415">
        <w:rPr>
          <w:rFonts w:ascii="Noto Sans" w:hAnsi="Noto Sans" w:cs="Noto Sans"/>
          <w:color w:val="000000" w:themeColor="text1"/>
          <w:spacing w:val="-2"/>
          <w:sz w:val="20"/>
          <w:szCs w:val="20"/>
        </w:rPr>
        <w:t>con</w:t>
      </w:r>
      <w:r w:rsidRPr="00CF0415">
        <w:rPr>
          <w:rFonts w:ascii="Noto Sans" w:hAnsi="Noto Sans" w:cs="Noto Sans"/>
          <w:color w:val="000000" w:themeColor="text1"/>
          <w:spacing w:val="-2"/>
          <w:sz w:val="20"/>
          <w:szCs w:val="20"/>
        </w:rPr>
        <w:t xml:space="preserve"> la finalidad de promover el acceso a la cultura, las artes, la danza y fomentar la inclusión y la participación de todos los grupos sociales en actividades culturales. </w:t>
      </w:r>
    </w:p>
    <w:p w14:paraId="030F4D4B" w14:textId="77777777" w:rsidR="006F17A3" w:rsidRPr="00CF0415" w:rsidRDefault="006F17A3">
      <w:pPr>
        <w:ind w:firstLine="1"/>
        <w:jc w:val="both"/>
        <w:rPr>
          <w:rFonts w:ascii="Noto Sans" w:hAnsi="Noto Sans" w:cs="Noto Sans"/>
          <w:color w:val="000000" w:themeColor="text1"/>
          <w:spacing w:val="-2"/>
          <w:sz w:val="20"/>
          <w:szCs w:val="20"/>
        </w:rPr>
      </w:pPr>
    </w:p>
    <w:p w14:paraId="24910451" w14:textId="289D9709" w:rsidR="006F17A3" w:rsidRDefault="00CF0415">
      <w:pPr>
        <w:ind w:firstLine="1"/>
        <w:jc w:val="both"/>
        <w:rPr>
          <w:rFonts w:ascii="Noto Sans" w:hAnsi="Noto Sans" w:cs="Noto Sans"/>
          <w:color w:val="000000" w:themeColor="text1"/>
          <w:spacing w:val="-2"/>
          <w:sz w:val="20"/>
          <w:szCs w:val="20"/>
        </w:rPr>
      </w:pPr>
      <w:r w:rsidRPr="00CF0415">
        <w:rPr>
          <w:rFonts w:ascii="Noto Sans" w:hAnsi="Noto Sans" w:cs="Noto Sans"/>
          <w:color w:val="000000" w:themeColor="text1"/>
          <w:spacing w:val="-2"/>
          <w:sz w:val="20"/>
          <w:szCs w:val="20"/>
        </w:rPr>
        <w:t>El convenio pactado en el marco del Día Mundial del Teatro, jornada conmemorativa que se celebra anualmente el 27 de marzo, desde 1961, busca enriquecer la oferta cultural y artística del país a partir de la contribución al ejercicio de los derechos culturales de la población. La convocatoria tiene un fondo de 30 millones de pesos para fortalecer la vocación social de la Red Teatral del IMSS y abonar en el compromiso para el pago de una remuneración justa y el fomento de la creación escénica nacional para compañías independientes.</w:t>
      </w:r>
    </w:p>
    <w:p w14:paraId="6D3EF9A8" w14:textId="77777777" w:rsidR="00CF0415" w:rsidRPr="00CF0415" w:rsidRDefault="00CF0415">
      <w:pPr>
        <w:ind w:firstLine="1"/>
        <w:jc w:val="both"/>
        <w:rPr>
          <w:rFonts w:ascii="Noto Sans" w:hAnsi="Noto Sans" w:cs="Noto Sans"/>
          <w:color w:val="000000" w:themeColor="text1"/>
          <w:spacing w:val="-2"/>
          <w:sz w:val="20"/>
          <w:szCs w:val="20"/>
        </w:rPr>
      </w:pPr>
    </w:p>
    <w:p w14:paraId="6A5F607B" w14:textId="77777777" w:rsidR="006F17A3" w:rsidRPr="00CF0415" w:rsidRDefault="00A36CAC">
      <w:pPr>
        <w:ind w:firstLine="1"/>
        <w:jc w:val="both"/>
        <w:rPr>
          <w:rFonts w:ascii="Noto Sans" w:hAnsi="Noto Sans" w:cs="Noto Sans"/>
          <w:color w:val="000000" w:themeColor="text1"/>
          <w:spacing w:val="-2"/>
          <w:sz w:val="20"/>
          <w:szCs w:val="20"/>
        </w:rPr>
      </w:pPr>
      <w:r w:rsidRPr="00CF0415">
        <w:rPr>
          <w:rFonts w:ascii="Noto Sans" w:hAnsi="Noto Sans" w:cs="Noto Sans"/>
          <w:color w:val="000000" w:themeColor="text1"/>
          <w:spacing w:val="-2"/>
          <w:sz w:val="20"/>
          <w:szCs w:val="20"/>
        </w:rPr>
        <w:t>Durante el evento realizado en el Centro Cultural Rafael Solana, ubicado en Magdalena de las Salinas, Ciudad de México, Zoé Robledo señaló que el convenio permite lanzar una convocatoria nacional a grupos artísticos, crear un comité evaluador y activar 25 teatros en una nueva faceta que marca el retorno al gran teatro del Seguro Social.</w:t>
      </w:r>
    </w:p>
    <w:p w14:paraId="68052C58" w14:textId="77777777" w:rsidR="006F17A3" w:rsidRPr="00CF0415" w:rsidRDefault="006F17A3">
      <w:pPr>
        <w:ind w:firstLine="1"/>
        <w:jc w:val="both"/>
        <w:rPr>
          <w:rFonts w:ascii="Noto Sans" w:hAnsi="Noto Sans" w:cs="Noto Sans"/>
          <w:color w:val="000000" w:themeColor="text1"/>
          <w:spacing w:val="-2"/>
          <w:sz w:val="20"/>
          <w:szCs w:val="20"/>
        </w:rPr>
      </w:pPr>
    </w:p>
    <w:p w14:paraId="298307C2" w14:textId="77777777" w:rsidR="006F17A3" w:rsidRPr="00CF0415" w:rsidRDefault="00A36CAC">
      <w:pPr>
        <w:ind w:firstLine="1"/>
        <w:jc w:val="both"/>
        <w:rPr>
          <w:rFonts w:ascii="Noto Sans" w:hAnsi="Noto Sans" w:cs="Noto Sans"/>
          <w:color w:val="000000" w:themeColor="text1"/>
          <w:spacing w:val="-2"/>
          <w:sz w:val="20"/>
          <w:szCs w:val="20"/>
        </w:rPr>
      </w:pPr>
      <w:r w:rsidRPr="00CF0415">
        <w:rPr>
          <w:rFonts w:ascii="Noto Sans" w:hAnsi="Noto Sans" w:cs="Noto Sans"/>
          <w:color w:val="000000" w:themeColor="text1"/>
          <w:spacing w:val="-2"/>
          <w:sz w:val="20"/>
          <w:szCs w:val="20"/>
        </w:rPr>
        <w:t>“No es poca cosa intentar emular a grandes actrices y primeros actores que lo hicieron posible, pero estamos en condiciones de hacerlo porque hay un planteamiento muy claro de la presidenta de México, Claudia Sheinbaum: acceso a la cultura de manera democrática y territorialmente accesible, y eso solo lo puede ofrecer la red de teatros del IMSS”, enfatizó.</w:t>
      </w:r>
    </w:p>
    <w:p w14:paraId="22CD6483" w14:textId="77777777" w:rsidR="006F17A3" w:rsidRPr="00CF0415" w:rsidRDefault="006F17A3">
      <w:pPr>
        <w:ind w:firstLine="1"/>
        <w:jc w:val="both"/>
        <w:rPr>
          <w:rFonts w:ascii="Noto Sans" w:hAnsi="Noto Sans" w:cs="Noto Sans"/>
          <w:color w:val="000000" w:themeColor="text1"/>
          <w:spacing w:val="-2"/>
          <w:sz w:val="20"/>
          <w:szCs w:val="20"/>
        </w:rPr>
      </w:pPr>
    </w:p>
    <w:p w14:paraId="3C95B08F" w14:textId="77777777" w:rsidR="006F17A3" w:rsidRPr="00CF0415" w:rsidRDefault="00A36CAC">
      <w:pPr>
        <w:ind w:firstLine="1"/>
        <w:jc w:val="both"/>
        <w:rPr>
          <w:rFonts w:ascii="Noto Sans" w:hAnsi="Noto Sans" w:cs="Noto Sans"/>
          <w:color w:val="000000" w:themeColor="text1"/>
          <w:spacing w:val="-2"/>
          <w:sz w:val="20"/>
          <w:szCs w:val="20"/>
        </w:rPr>
      </w:pPr>
      <w:r w:rsidRPr="00CF0415">
        <w:rPr>
          <w:rFonts w:ascii="Noto Sans" w:hAnsi="Noto Sans" w:cs="Noto Sans"/>
          <w:color w:val="000000" w:themeColor="text1"/>
          <w:spacing w:val="-2"/>
          <w:sz w:val="20"/>
          <w:szCs w:val="20"/>
        </w:rPr>
        <w:t xml:space="preserve">Señaló que en 2019 el Teatro del IMSS en Reforma, “Juan Moisés Calleja” abrió sus puertas con la puesta en escena </w:t>
      </w:r>
      <w:r w:rsidRPr="00CF0415">
        <w:rPr>
          <w:rFonts w:ascii="Noto Sans" w:hAnsi="Noto Sans" w:cs="Noto Sans"/>
          <w:color w:val="000000" w:themeColor="text1"/>
          <w:spacing w:val="-2"/>
          <w:sz w:val="20"/>
          <w:szCs w:val="20"/>
        </w:rPr>
        <w:t>“Felipe Ángeles”, y un año después, en 2020, el Seguro Social y la Secretaría de Cultura suscribieron un convenio marco con vigencia sexenal donde se establecieron bases sólidas para reactivar el movimiento escénico institucional “con la pandemia todo tuvo que parar, pero no el ánimo, nunca el espíritu”.</w:t>
      </w:r>
    </w:p>
    <w:p w14:paraId="55A335EA" w14:textId="77777777" w:rsidR="006F17A3" w:rsidRPr="00CF0415" w:rsidRDefault="006F17A3">
      <w:pPr>
        <w:ind w:firstLine="1"/>
        <w:jc w:val="both"/>
        <w:rPr>
          <w:rFonts w:ascii="Noto Sans" w:hAnsi="Noto Sans" w:cs="Noto Sans"/>
          <w:color w:val="000000" w:themeColor="text1"/>
          <w:spacing w:val="-2"/>
          <w:sz w:val="20"/>
          <w:szCs w:val="20"/>
        </w:rPr>
      </w:pPr>
    </w:p>
    <w:p w14:paraId="71583549" w14:textId="77777777" w:rsidR="006F17A3" w:rsidRPr="00CF0415" w:rsidRDefault="00A36CAC">
      <w:pPr>
        <w:ind w:firstLine="1"/>
        <w:jc w:val="both"/>
        <w:rPr>
          <w:rFonts w:ascii="Noto Sans" w:hAnsi="Noto Sans" w:cs="Noto Sans"/>
          <w:color w:val="000000" w:themeColor="text1"/>
          <w:spacing w:val="-2"/>
          <w:sz w:val="20"/>
          <w:szCs w:val="20"/>
        </w:rPr>
      </w:pPr>
      <w:r w:rsidRPr="00CF0415">
        <w:rPr>
          <w:rFonts w:ascii="Noto Sans" w:hAnsi="Noto Sans" w:cs="Noto Sans"/>
          <w:color w:val="000000" w:themeColor="text1"/>
          <w:spacing w:val="-2"/>
          <w:sz w:val="20"/>
          <w:szCs w:val="20"/>
        </w:rPr>
        <w:t>Agradeció a la secretaria Curiel de Icaza por su esfuerzo y empeño para la firma del convenio, con lo cual el Seguro Social regresa a sus orígenes, a un teatro que va más allá de lo comercial “como un acto subsidiario para volver a presentar a esas grandes obras o que incluso nunca se han puesto en escena”.</w:t>
      </w:r>
    </w:p>
    <w:p w14:paraId="60012535" w14:textId="77777777" w:rsidR="006F17A3" w:rsidRPr="00CF0415" w:rsidRDefault="006F17A3">
      <w:pPr>
        <w:ind w:firstLine="1"/>
        <w:jc w:val="both"/>
        <w:rPr>
          <w:rFonts w:ascii="Noto Sans" w:hAnsi="Noto Sans" w:cs="Noto Sans"/>
          <w:color w:val="000000" w:themeColor="text1"/>
          <w:spacing w:val="-2"/>
          <w:sz w:val="20"/>
          <w:szCs w:val="20"/>
        </w:rPr>
      </w:pPr>
    </w:p>
    <w:p w14:paraId="26FD4D7A" w14:textId="77777777" w:rsidR="006F17A3" w:rsidRPr="00CF0415" w:rsidRDefault="00A36CAC">
      <w:pPr>
        <w:ind w:firstLine="1"/>
        <w:jc w:val="both"/>
        <w:rPr>
          <w:rFonts w:ascii="Noto Sans" w:hAnsi="Noto Sans" w:cs="Noto Sans"/>
          <w:color w:val="000000" w:themeColor="text1"/>
          <w:spacing w:val="-2"/>
          <w:sz w:val="20"/>
          <w:szCs w:val="20"/>
        </w:rPr>
      </w:pPr>
      <w:r w:rsidRPr="00CF0415">
        <w:rPr>
          <w:rFonts w:ascii="Noto Sans" w:hAnsi="Noto Sans" w:cs="Noto Sans"/>
          <w:color w:val="000000" w:themeColor="text1"/>
          <w:spacing w:val="-2"/>
          <w:sz w:val="20"/>
          <w:szCs w:val="20"/>
        </w:rPr>
        <w:t>A su vez, la secretaria de Cultura del Gobierno de México, Claudia Curiel de Icaza, afirmó: “Es un retorno de la vocación social y del interés de este gobierno por fortalecer los circuitos culturales, el acceso a la cultura, el bienestar social y emocional en un eje de trabajo entre cultura y salud”.</w:t>
      </w:r>
    </w:p>
    <w:p w14:paraId="5E921863" w14:textId="77777777" w:rsidR="006F17A3" w:rsidRPr="00CF0415" w:rsidRDefault="006F17A3">
      <w:pPr>
        <w:ind w:firstLine="1"/>
        <w:jc w:val="both"/>
        <w:rPr>
          <w:rFonts w:ascii="Noto Sans" w:hAnsi="Noto Sans" w:cs="Noto Sans"/>
          <w:color w:val="000000" w:themeColor="text1"/>
          <w:spacing w:val="-2"/>
          <w:sz w:val="20"/>
          <w:szCs w:val="20"/>
        </w:rPr>
      </w:pPr>
    </w:p>
    <w:p w14:paraId="25BE6A5A" w14:textId="77777777" w:rsidR="006F17A3" w:rsidRPr="00CF0415" w:rsidRDefault="00A36CAC">
      <w:pPr>
        <w:ind w:firstLine="1"/>
        <w:jc w:val="both"/>
        <w:rPr>
          <w:rFonts w:ascii="Noto Sans" w:hAnsi="Noto Sans" w:cs="Noto Sans"/>
          <w:color w:val="000000" w:themeColor="text1"/>
          <w:spacing w:val="-2"/>
          <w:sz w:val="20"/>
          <w:szCs w:val="20"/>
        </w:rPr>
      </w:pPr>
      <w:r w:rsidRPr="00CF0415">
        <w:rPr>
          <w:rFonts w:ascii="Noto Sans" w:hAnsi="Noto Sans" w:cs="Noto Sans"/>
          <w:color w:val="000000" w:themeColor="text1"/>
          <w:spacing w:val="-2"/>
          <w:sz w:val="20"/>
          <w:szCs w:val="20"/>
        </w:rPr>
        <w:t>Lo anterior, en línea con la visión de trabajo de la Presidenta Claudia Sheinbaum Pardo: “Que tiene como objetivo recuperar la rectoría del Estado en temas fundamentales para el bienestar social, qué mejor que una alianza entre Salud y Cultura para trabajar en esta red histórica de teatros, para abrir las puertas y fortalecer a las nuevas generaciones de artistas, donde no solo se va a invitar a gente de Teatro sino también de Danza”.</w:t>
      </w:r>
    </w:p>
    <w:p w14:paraId="1502D71D" w14:textId="77777777" w:rsidR="006F17A3" w:rsidRPr="00CF0415" w:rsidRDefault="006F17A3">
      <w:pPr>
        <w:ind w:firstLine="1"/>
        <w:jc w:val="both"/>
        <w:rPr>
          <w:rFonts w:ascii="Noto Sans" w:hAnsi="Noto Sans" w:cs="Noto Sans"/>
          <w:color w:val="000000" w:themeColor="text1"/>
          <w:spacing w:val="-2"/>
          <w:sz w:val="20"/>
          <w:szCs w:val="20"/>
        </w:rPr>
      </w:pPr>
    </w:p>
    <w:p w14:paraId="290333E6" w14:textId="70E7CC4D" w:rsidR="006F17A3" w:rsidRPr="00CF0415" w:rsidRDefault="00A36CAC">
      <w:pPr>
        <w:ind w:firstLine="1"/>
        <w:jc w:val="both"/>
        <w:rPr>
          <w:rFonts w:ascii="Noto Sans" w:hAnsi="Noto Sans" w:cs="Noto Sans"/>
          <w:color w:val="000000" w:themeColor="text1"/>
          <w:spacing w:val="-2"/>
          <w:sz w:val="20"/>
          <w:szCs w:val="20"/>
        </w:rPr>
      </w:pPr>
      <w:r w:rsidRPr="00CF0415">
        <w:rPr>
          <w:rFonts w:ascii="Noto Sans" w:hAnsi="Noto Sans" w:cs="Noto Sans"/>
          <w:color w:val="000000" w:themeColor="text1"/>
          <w:spacing w:val="-2"/>
          <w:sz w:val="20"/>
          <w:szCs w:val="20"/>
        </w:rPr>
        <w:t>El evento contó con la presencia de Alejandra de la Paz N</w:t>
      </w:r>
      <w:r w:rsidR="00CF0415">
        <w:rPr>
          <w:rFonts w:ascii="Noto Sans" w:hAnsi="Noto Sans" w:cs="Noto Sans"/>
          <w:color w:val="000000" w:themeColor="text1"/>
          <w:spacing w:val="-2"/>
          <w:sz w:val="20"/>
          <w:szCs w:val="20"/>
        </w:rPr>
        <w:t>á</w:t>
      </w:r>
      <w:r w:rsidRPr="00CF0415">
        <w:rPr>
          <w:rFonts w:ascii="Noto Sans" w:hAnsi="Noto Sans" w:cs="Noto Sans"/>
          <w:color w:val="000000" w:themeColor="text1"/>
          <w:spacing w:val="-2"/>
          <w:sz w:val="20"/>
          <w:szCs w:val="20"/>
        </w:rPr>
        <w:t>jera, directora general del Instituto Nacional de Bellas Artes y Literatura (Inbal); Haydee Boetto Bárcena, subdirectora general del Inbal; Héctor Robles Peiro, titular de la Unidad de Prestaciones Sociales del IMSS; Magdalena Castro Onofre, coordinadora de Bienestar Social; directoras y directores normativos del IMSS, entre otras autoridades e invitados especiales.</w:t>
      </w:r>
    </w:p>
    <w:p w14:paraId="7AEAD984" w14:textId="77777777" w:rsidR="006F17A3" w:rsidRPr="00CF0415" w:rsidRDefault="006F17A3">
      <w:pPr>
        <w:rPr>
          <w:rFonts w:ascii="Noto Sans" w:hAnsi="Noto Sans" w:cs="Noto Sans"/>
          <w:color w:val="000000" w:themeColor="text1"/>
          <w:spacing w:val="-2"/>
          <w:sz w:val="20"/>
          <w:szCs w:val="20"/>
        </w:rPr>
      </w:pPr>
    </w:p>
    <w:p w14:paraId="1EA78A6D" w14:textId="77777777" w:rsidR="006F17A3" w:rsidRPr="00CF0415" w:rsidRDefault="00A36CAC" w:rsidP="00791E7F">
      <w:pPr>
        <w:jc w:val="both"/>
        <w:rPr>
          <w:rFonts w:ascii="Noto Sans" w:hAnsi="Noto Sans" w:cs="Noto Sans"/>
          <w:color w:val="000000" w:themeColor="text1"/>
          <w:spacing w:val="-2"/>
          <w:sz w:val="20"/>
          <w:szCs w:val="20"/>
        </w:rPr>
      </w:pPr>
      <w:r w:rsidRPr="00CF0415">
        <w:rPr>
          <w:rFonts w:ascii="Noto Sans" w:hAnsi="Noto Sans" w:cs="Noto Sans"/>
          <w:color w:val="000000" w:themeColor="text1"/>
          <w:spacing w:val="-2"/>
          <w:sz w:val="20"/>
          <w:szCs w:val="20"/>
        </w:rPr>
        <w:t>Previamente, el maestro Manuel Suasnavar realizó una explicación del mural “La Garza” de su autoría, el cual se encuentra en el Centro Cultural Rafael Solana del IMSS.</w:t>
      </w:r>
    </w:p>
    <w:p w14:paraId="1C76399D" w14:textId="77777777" w:rsidR="006F17A3" w:rsidRPr="00CF0415" w:rsidRDefault="006F17A3">
      <w:pPr>
        <w:ind w:firstLine="426"/>
        <w:rPr>
          <w:rFonts w:ascii="Noto Sans" w:hAnsi="Noto Sans" w:cs="Noto Sans"/>
          <w:color w:val="000000" w:themeColor="text1"/>
          <w:spacing w:val="-2"/>
          <w:sz w:val="20"/>
          <w:szCs w:val="20"/>
        </w:rPr>
      </w:pPr>
    </w:p>
    <w:p w14:paraId="7E8CF07B" w14:textId="77777777" w:rsidR="006F17A3" w:rsidRPr="00CF0415" w:rsidRDefault="00A36CAC">
      <w:pPr>
        <w:rPr>
          <w:rFonts w:ascii="Noto Sans" w:hAnsi="Noto Sans" w:cs="Noto Sans"/>
          <w:b/>
          <w:bCs/>
          <w:color w:val="000000" w:themeColor="text1"/>
          <w:spacing w:val="-2"/>
          <w:sz w:val="20"/>
          <w:szCs w:val="20"/>
        </w:rPr>
      </w:pPr>
      <w:r w:rsidRPr="00CF0415">
        <w:rPr>
          <w:rFonts w:ascii="Noto Sans" w:hAnsi="Noto Sans" w:cs="Noto Sans"/>
          <w:b/>
          <w:bCs/>
          <w:color w:val="000000" w:themeColor="text1"/>
          <w:spacing w:val="-2"/>
          <w:sz w:val="20"/>
          <w:szCs w:val="20"/>
        </w:rPr>
        <w:t xml:space="preserve">Escenarios IMSS-Cultura </w:t>
      </w:r>
    </w:p>
    <w:p w14:paraId="7FF2A494" w14:textId="77777777" w:rsidR="006F17A3" w:rsidRPr="00CF0415" w:rsidRDefault="006F17A3">
      <w:pPr>
        <w:ind w:firstLine="426"/>
        <w:rPr>
          <w:rFonts w:ascii="Noto Sans" w:hAnsi="Noto Sans" w:cs="Noto Sans"/>
          <w:color w:val="000000" w:themeColor="text1"/>
          <w:spacing w:val="-2"/>
          <w:sz w:val="20"/>
          <w:szCs w:val="20"/>
        </w:rPr>
      </w:pPr>
    </w:p>
    <w:p w14:paraId="21E833BE" w14:textId="68A1C873" w:rsidR="006F17A3" w:rsidRDefault="00CF0415" w:rsidP="00CF0415">
      <w:pPr>
        <w:jc w:val="both"/>
        <w:rPr>
          <w:rFonts w:ascii="Noto Sans" w:hAnsi="Noto Sans" w:cs="Noto Sans"/>
          <w:color w:val="000000" w:themeColor="text1"/>
          <w:spacing w:val="-2"/>
          <w:sz w:val="20"/>
          <w:szCs w:val="20"/>
        </w:rPr>
      </w:pPr>
      <w:r w:rsidRPr="00CF0415">
        <w:rPr>
          <w:rFonts w:ascii="Noto Sans" w:hAnsi="Noto Sans" w:cs="Noto Sans"/>
          <w:color w:val="000000" w:themeColor="text1"/>
          <w:spacing w:val="-2"/>
          <w:sz w:val="20"/>
          <w:szCs w:val="20"/>
        </w:rPr>
        <w:t>Las bases de la convocatoria se darán a conocer la primera semana de abril y se podrán postular de manera virtual del 15 de abril al 20 de mayo de 2025</w:t>
      </w:r>
      <w:r>
        <w:rPr>
          <w:rFonts w:ascii="Noto Sans" w:hAnsi="Noto Sans" w:cs="Noto Sans"/>
          <w:color w:val="000000" w:themeColor="text1"/>
          <w:spacing w:val="-2"/>
          <w:sz w:val="20"/>
          <w:szCs w:val="20"/>
        </w:rPr>
        <w:t>;</w:t>
      </w:r>
      <w:r w:rsidRPr="00CF0415">
        <w:rPr>
          <w:rFonts w:ascii="Noto Sans" w:hAnsi="Noto Sans" w:cs="Noto Sans"/>
          <w:color w:val="000000" w:themeColor="text1"/>
          <w:spacing w:val="-2"/>
          <w:sz w:val="20"/>
          <w:szCs w:val="20"/>
        </w:rPr>
        <w:t xml:space="preserve"> la publicación de ganadores será el </w:t>
      </w:r>
      <w:r w:rsidR="00D12FA5">
        <w:rPr>
          <w:rFonts w:ascii="Noto Sans" w:hAnsi="Noto Sans" w:cs="Noto Sans"/>
          <w:color w:val="000000" w:themeColor="text1"/>
          <w:spacing w:val="-2"/>
          <w:sz w:val="20"/>
          <w:szCs w:val="20"/>
        </w:rPr>
        <w:t>3</w:t>
      </w:r>
      <w:r w:rsidRPr="00CF0415">
        <w:rPr>
          <w:rFonts w:ascii="Noto Sans" w:hAnsi="Noto Sans" w:cs="Noto Sans"/>
          <w:color w:val="000000" w:themeColor="text1"/>
          <w:spacing w:val="-2"/>
          <w:sz w:val="20"/>
          <w:szCs w:val="20"/>
        </w:rPr>
        <w:t>0 de junio para iniciar con las presentaciones en el segundo semestre del año en curso.</w:t>
      </w:r>
    </w:p>
    <w:p w14:paraId="54B447BE" w14:textId="77777777" w:rsidR="00CF0415" w:rsidRPr="00CF0415" w:rsidRDefault="00CF0415" w:rsidP="00CF0415">
      <w:pPr>
        <w:jc w:val="both"/>
        <w:rPr>
          <w:rFonts w:ascii="Noto Sans" w:hAnsi="Noto Sans" w:cs="Noto Sans"/>
          <w:color w:val="000000" w:themeColor="text1"/>
          <w:spacing w:val="-2"/>
          <w:sz w:val="20"/>
          <w:szCs w:val="20"/>
        </w:rPr>
      </w:pPr>
    </w:p>
    <w:p w14:paraId="6415C734" w14:textId="77777777" w:rsidR="006F17A3" w:rsidRPr="00CF0415" w:rsidRDefault="00A36CAC">
      <w:pPr>
        <w:ind w:firstLine="1"/>
        <w:jc w:val="both"/>
        <w:rPr>
          <w:rFonts w:ascii="Noto Sans" w:hAnsi="Noto Sans" w:cs="Noto Sans"/>
          <w:color w:val="000000" w:themeColor="text1"/>
          <w:spacing w:val="-2"/>
          <w:sz w:val="20"/>
          <w:szCs w:val="20"/>
        </w:rPr>
      </w:pPr>
      <w:r w:rsidRPr="00CF0415">
        <w:rPr>
          <w:rFonts w:ascii="Noto Sans" w:hAnsi="Noto Sans" w:cs="Noto Sans"/>
          <w:color w:val="000000" w:themeColor="text1"/>
          <w:spacing w:val="-2"/>
          <w:sz w:val="20"/>
          <w:szCs w:val="20"/>
        </w:rPr>
        <w:t xml:space="preserve">Escenarios IMSS-Cultura tiene dos </w:t>
      </w:r>
      <w:r w:rsidRPr="00CF0415">
        <w:rPr>
          <w:rFonts w:ascii="Noto Sans" w:hAnsi="Noto Sans" w:cs="Noto Sans"/>
          <w:color w:val="000000" w:themeColor="text1"/>
          <w:spacing w:val="-2"/>
          <w:sz w:val="20"/>
          <w:szCs w:val="20"/>
        </w:rPr>
        <w:t>vertientes programáticas: Danza y Teatro para niñas, niños y jóvenes, y Danza y Teatro para toda la familia. Podrán participar compañías, artistas, creadores, agentes culturales o grupos artísticos de artes escénicas, tanto mexicanos como extranjeros con residencia en México.</w:t>
      </w:r>
    </w:p>
    <w:p w14:paraId="32880529" w14:textId="77777777" w:rsidR="006F17A3" w:rsidRPr="00CF0415" w:rsidRDefault="006F17A3">
      <w:pPr>
        <w:ind w:firstLine="1"/>
        <w:jc w:val="both"/>
        <w:rPr>
          <w:rFonts w:ascii="Noto Sans" w:hAnsi="Noto Sans" w:cs="Noto Sans"/>
          <w:color w:val="000000" w:themeColor="text1"/>
          <w:spacing w:val="-2"/>
          <w:sz w:val="20"/>
          <w:szCs w:val="20"/>
        </w:rPr>
      </w:pPr>
    </w:p>
    <w:p w14:paraId="273AC59F" w14:textId="6DC260B1" w:rsidR="006F17A3" w:rsidRDefault="00A36CAC">
      <w:pPr>
        <w:ind w:firstLine="1"/>
        <w:jc w:val="both"/>
        <w:rPr>
          <w:rFonts w:ascii="Noto Sans" w:hAnsi="Noto Sans" w:cs="Noto Sans"/>
          <w:color w:val="000000" w:themeColor="text1"/>
          <w:spacing w:val="-2"/>
          <w:sz w:val="20"/>
          <w:szCs w:val="20"/>
        </w:rPr>
      </w:pPr>
      <w:r w:rsidRPr="00CF0415">
        <w:rPr>
          <w:rFonts w:ascii="Noto Sans" w:hAnsi="Noto Sans" w:cs="Noto Sans"/>
          <w:color w:val="000000" w:themeColor="text1"/>
          <w:spacing w:val="-2"/>
          <w:sz w:val="20"/>
          <w:szCs w:val="20"/>
        </w:rPr>
        <w:t>Los proyectos seleccionados deberán ofrecer seis funciones de una obra ya existente en dos espacios escénicos del IMSS, tres presentaciones serán en la ciudad de residencia del artista o grupo y otras tres en un estado colindante que cuente con un teatro de la Red del IMSS, para lo cual se establecieron siete circuitos regionales</w:t>
      </w:r>
      <w:r w:rsidR="00CF0415">
        <w:rPr>
          <w:rFonts w:ascii="Noto Sans" w:hAnsi="Noto Sans" w:cs="Noto Sans"/>
          <w:color w:val="000000" w:themeColor="text1"/>
          <w:spacing w:val="-2"/>
          <w:sz w:val="20"/>
          <w:szCs w:val="20"/>
        </w:rPr>
        <w:t>:</w:t>
      </w:r>
    </w:p>
    <w:p w14:paraId="224AF24E" w14:textId="77777777" w:rsidR="00CF0415" w:rsidRDefault="00CF0415">
      <w:pPr>
        <w:ind w:firstLine="1"/>
        <w:jc w:val="both"/>
        <w:rPr>
          <w:rFonts w:ascii="Noto Sans" w:hAnsi="Noto Sans" w:cs="Noto Sans"/>
          <w:color w:val="000000" w:themeColor="text1"/>
          <w:spacing w:val="-2"/>
          <w:sz w:val="20"/>
          <w:szCs w:val="20"/>
        </w:rPr>
      </w:pPr>
    </w:p>
    <w:p w14:paraId="2FBD4913" w14:textId="77777777" w:rsidR="00CF0415" w:rsidRPr="00CF0415" w:rsidRDefault="00CF0415" w:rsidP="00CF0415">
      <w:pPr>
        <w:pStyle w:val="Prrafodelista"/>
        <w:numPr>
          <w:ilvl w:val="0"/>
          <w:numId w:val="4"/>
        </w:numPr>
        <w:jc w:val="both"/>
        <w:rPr>
          <w:rFonts w:ascii="Noto Sans" w:hAnsi="Noto Sans" w:cs="Noto Sans"/>
          <w:color w:val="000000" w:themeColor="text1"/>
          <w:spacing w:val="-2"/>
          <w:sz w:val="20"/>
          <w:szCs w:val="20"/>
        </w:rPr>
      </w:pPr>
      <w:r w:rsidRPr="00CF0415">
        <w:rPr>
          <w:rFonts w:ascii="Noto Sans" w:hAnsi="Noto Sans" w:cs="Noto Sans"/>
          <w:color w:val="000000" w:themeColor="text1"/>
          <w:spacing w:val="-2"/>
          <w:sz w:val="20"/>
          <w:szCs w:val="20"/>
        </w:rPr>
        <w:t>Región Centro: Ciudad de México, Estado de México (Naucalpan de Juárez y Toluca de Lerdo) y Tlaxcala (Tlaxcala).</w:t>
      </w:r>
    </w:p>
    <w:p w14:paraId="0BA93DAA" w14:textId="77777777" w:rsidR="00CF0415" w:rsidRPr="00CF0415" w:rsidRDefault="00CF0415" w:rsidP="00CF0415">
      <w:pPr>
        <w:pStyle w:val="Prrafodelista"/>
        <w:numPr>
          <w:ilvl w:val="0"/>
          <w:numId w:val="4"/>
        </w:numPr>
        <w:jc w:val="both"/>
        <w:rPr>
          <w:rFonts w:ascii="Noto Sans" w:hAnsi="Noto Sans" w:cs="Noto Sans"/>
          <w:color w:val="000000" w:themeColor="text1"/>
          <w:spacing w:val="-2"/>
          <w:sz w:val="20"/>
          <w:szCs w:val="20"/>
        </w:rPr>
      </w:pPr>
      <w:r w:rsidRPr="00CF0415">
        <w:rPr>
          <w:rFonts w:ascii="Noto Sans" w:hAnsi="Noto Sans" w:cs="Noto Sans"/>
          <w:color w:val="000000" w:themeColor="text1"/>
          <w:spacing w:val="-2"/>
          <w:sz w:val="20"/>
          <w:szCs w:val="20"/>
        </w:rPr>
        <w:t>Región Bajío: Querétaro (Santiago de Querétaro), Guanajuato (León de los Aldama), Aguascalientes (Aguascalientes) y San Luis Potosí (San Luis Potosí).</w:t>
      </w:r>
    </w:p>
    <w:p w14:paraId="76AF5B7A" w14:textId="77777777" w:rsidR="00CF0415" w:rsidRPr="00CF0415" w:rsidRDefault="00CF0415" w:rsidP="00CF0415">
      <w:pPr>
        <w:pStyle w:val="Prrafodelista"/>
        <w:numPr>
          <w:ilvl w:val="0"/>
          <w:numId w:val="4"/>
        </w:numPr>
        <w:jc w:val="both"/>
        <w:rPr>
          <w:rFonts w:ascii="Noto Sans" w:hAnsi="Noto Sans" w:cs="Noto Sans"/>
          <w:color w:val="000000" w:themeColor="text1"/>
          <w:spacing w:val="-2"/>
          <w:sz w:val="20"/>
          <w:szCs w:val="20"/>
        </w:rPr>
      </w:pPr>
      <w:r w:rsidRPr="00CF0415">
        <w:rPr>
          <w:rFonts w:ascii="Noto Sans" w:hAnsi="Noto Sans" w:cs="Noto Sans"/>
          <w:color w:val="000000" w:themeColor="text1"/>
          <w:spacing w:val="-2"/>
          <w:sz w:val="20"/>
          <w:szCs w:val="20"/>
        </w:rPr>
        <w:t>Región Occidente: Michoacán (Morelia) y Jalisco (Guadalajara).</w:t>
      </w:r>
    </w:p>
    <w:p w14:paraId="4055446B" w14:textId="77777777" w:rsidR="00CF0415" w:rsidRPr="00CF0415" w:rsidRDefault="00CF0415" w:rsidP="00CF0415">
      <w:pPr>
        <w:pStyle w:val="Prrafodelista"/>
        <w:numPr>
          <w:ilvl w:val="0"/>
          <w:numId w:val="4"/>
        </w:numPr>
        <w:jc w:val="both"/>
        <w:rPr>
          <w:rFonts w:ascii="Noto Sans" w:hAnsi="Noto Sans" w:cs="Noto Sans"/>
          <w:color w:val="000000" w:themeColor="text1"/>
          <w:spacing w:val="-2"/>
          <w:sz w:val="20"/>
          <w:szCs w:val="20"/>
        </w:rPr>
      </w:pPr>
      <w:r w:rsidRPr="00CF0415">
        <w:rPr>
          <w:rFonts w:ascii="Noto Sans" w:hAnsi="Noto Sans" w:cs="Noto Sans"/>
          <w:color w:val="000000" w:themeColor="text1"/>
          <w:spacing w:val="-2"/>
          <w:sz w:val="20"/>
          <w:szCs w:val="20"/>
        </w:rPr>
        <w:lastRenderedPageBreak/>
        <w:t>Región Centro-Norte: Zacatecas (Zacatecas) y Durango (Durango).</w:t>
      </w:r>
    </w:p>
    <w:p w14:paraId="222E8255" w14:textId="77777777" w:rsidR="00CF0415" w:rsidRPr="00CF0415" w:rsidRDefault="00CF0415" w:rsidP="00CF0415">
      <w:pPr>
        <w:pStyle w:val="Prrafodelista"/>
        <w:numPr>
          <w:ilvl w:val="0"/>
          <w:numId w:val="4"/>
        </w:numPr>
        <w:jc w:val="both"/>
        <w:rPr>
          <w:rFonts w:ascii="Noto Sans" w:hAnsi="Noto Sans" w:cs="Noto Sans"/>
          <w:color w:val="000000" w:themeColor="text1"/>
          <w:spacing w:val="-2"/>
          <w:sz w:val="20"/>
          <w:szCs w:val="20"/>
        </w:rPr>
      </w:pPr>
      <w:r w:rsidRPr="00CF0415">
        <w:rPr>
          <w:rFonts w:ascii="Noto Sans" w:hAnsi="Noto Sans" w:cs="Noto Sans"/>
          <w:color w:val="000000" w:themeColor="text1"/>
          <w:spacing w:val="-2"/>
          <w:sz w:val="20"/>
          <w:szCs w:val="20"/>
        </w:rPr>
        <w:t>Región Pacífico Norte: Sinaloa (Culiacán y Mazatlán).</w:t>
      </w:r>
    </w:p>
    <w:p w14:paraId="6D4AB8F7" w14:textId="77777777" w:rsidR="00CF0415" w:rsidRPr="00CF0415" w:rsidRDefault="00CF0415" w:rsidP="00CF0415">
      <w:pPr>
        <w:pStyle w:val="Prrafodelista"/>
        <w:numPr>
          <w:ilvl w:val="0"/>
          <w:numId w:val="4"/>
        </w:numPr>
        <w:jc w:val="both"/>
        <w:rPr>
          <w:rFonts w:ascii="Noto Sans" w:hAnsi="Noto Sans" w:cs="Noto Sans"/>
          <w:color w:val="000000" w:themeColor="text1"/>
          <w:spacing w:val="-2"/>
          <w:sz w:val="20"/>
          <w:szCs w:val="20"/>
        </w:rPr>
      </w:pPr>
      <w:r w:rsidRPr="00CF0415">
        <w:rPr>
          <w:rFonts w:ascii="Noto Sans" w:hAnsi="Noto Sans" w:cs="Noto Sans"/>
          <w:color w:val="000000" w:themeColor="text1"/>
          <w:spacing w:val="-2"/>
          <w:sz w:val="20"/>
          <w:szCs w:val="20"/>
        </w:rPr>
        <w:t>Región Noroeste: Baja California (Mexicali y Tijuana).</w:t>
      </w:r>
    </w:p>
    <w:p w14:paraId="409851A0" w14:textId="7BFD4502" w:rsidR="00D12FA5" w:rsidRPr="00D12FA5" w:rsidRDefault="00CF0415" w:rsidP="00CF0415">
      <w:pPr>
        <w:pStyle w:val="Prrafodelista"/>
        <w:numPr>
          <w:ilvl w:val="0"/>
          <w:numId w:val="4"/>
        </w:numPr>
        <w:jc w:val="both"/>
        <w:rPr>
          <w:rFonts w:ascii="Noto Sans" w:hAnsi="Noto Sans" w:cs="Noto Sans"/>
          <w:color w:val="000000" w:themeColor="text1"/>
          <w:spacing w:val="-2"/>
          <w:sz w:val="20"/>
          <w:szCs w:val="20"/>
        </w:rPr>
      </w:pPr>
      <w:r w:rsidRPr="00D12FA5">
        <w:rPr>
          <w:rFonts w:ascii="Noto Sans" w:hAnsi="Noto Sans" w:cs="Noto Sans"/>
          <w:color w:val="000000" w:themeColor="text1"/>
          <w:spacing w:val="-2"/>
          <w:sz w:val="20"/>
          <w:szCs w:val="20"/>
        </w:rPr>
        <w:t xml:space="preserve">Región Sureste: </w:t>
      </w:r>
      <w:r w:rsidR="00D12FA5" w:rsidRPr="00D12FA5">
        <w:rPr>
          <w:rFonts w:ascii="Noto Sans" w:hAnsi="Noto Sans" w:cs="Noto Sans"/>
          <w:color w:val="000000" w:themeColor="text1"/>
          <w:spacing w:val="-2"/>
          <w:sz w:val="20"/>
          <w:szCs w:val="20"/>
        </w:rPr>
        <w:t>(Campeche, Yucatán, Quintana Roo y Tabasco).</w:t>
      </w:r>
    </w:p>
    <w:p w14:paraId="25C12614" w14:textId="77777777" w:rsidR="00CF0415" w:rsidRPr="00CF0415" w:rsidRDefault="00CF0415" w:rsidP="00CF0415">
      <w:pPr>
        <w:ind w:firstLine="1"/>
        <w:jc w:val="both"/>
        <w:rPr>
          <w:rFonts w:ascii="Noto Sans" w:hAnsi="Noto Sans" w:cs="Noto Sans"/>
          <w:color w:val="000000" w:themeColor="text1"/>
          <w:spacing w:val="-2"/>
          <w:sz w:val="20"/>
          <w:szCs w:val="20"/>
        </w:rPr>
      </w:pPr>
    </w:p>
    <w:p w14:paraId="60F41977" w14:textId="7DDE9EC9" w:rsidR="00CF0415" w:rsidRPr="00CF0415" w:rsidRDefault="00CF0415" w:rsidP="00CF0415">
      <w:pPr>
        <w:ind w:firstLine="1"/>
        <w:jc w:val="both"/>
        <w:rPr>
          <w:rFonts w:ascii="Noto Sans" w:hAnsi="Noto Sans" w:cs="Noto Sans"/>
          <w:color w:val="000000" w:themeColor="text1"/>
          <w:spacing w:val="-2"/>
          <w:sz w:val="20"/>
          <w:szCs w:val="20"/>
        </w:rPr>
      </w:pPr>
      <w:r w:rsidRPr="00CF0415">
        <w:rPr>
          <w:rFonts w:ascii="Noto Sans" w:hAnsi="Noto Sans" w:cs="Noto Sans"/>
          <w:color w:val="000000" w:themeColor="text1"/>
          <w:spacing w:val="-2"/>
          <w:sz w:val="20"/>
          <w:szCs w:val="20"/>
        </w:rPr>
        <w:t>Las propuestas serán evaluadas por un Comité de Selección Artística integrado por especialistas en danza y teatro de las diferentes regiones del país.</w:t>
      </w:r>
    </w:p>
    <w:p w14:paraId="6EA1C648" w14:textId="77777777" w:rsidR="00CF0415" w:rsidRDefault="00CF0415" w:rsidP="00CF0415">
      <w:pPr>
        <w:rPr>
          <w:rFonts w:ascii="Noto Sans" w:hAnsi="Noto Sans" w:cs="Noto Sans"/>
          <w:b/>
          <w:color w:val="000000" w:themeColor="text1"/>
          <w:spacing w:val="-2"/>
          <w:sz w:val="20"/>
          <w:szCs w:val="20"/>
        </w:rPr>
      </w:pPr>
    </w:p>
    <w:p w14:paraId="3117FE0F" w14:textId="607E76D5" w:rsidR="006F17A3" w:rsidRDefault="00A36CAC" w:rsidP="00CF0415">
      <w:pPr>
        <w:jc w:val="center"/>
        <w:rPr>
          <w:rFonts w:ascii="Noto Sans" w:hAnsi="Noto Sans" w:cs="Noto Sans"/>
          <w:b/>
          <w:color w:val="000000" w:themeColor="text1"/>
          <w:spacing w:val="-2"/>
          <w:sz w:val="20"/>
          <w:szCs w:val="20"/>
        </w:rPr>
      </w:pPr>
      <w:r w:rsidRPr="00CF0415">
        <w:rPr>
          <w:rFonts w:ascii="Noto Sans" w:hAnsi="Noto Sans" w:cs="Noto Sans"/>
          <w:b/>
          <w:color w:val="000000" w:themeColor="text1"/>
          <w:spacing w:val="-2"/>
          <w:sz w:val="20"/>
          <w:szCs w:val="20"/>
        </w:rPr>
        <w:t>---o0o---</w:t>
      </w:r>
    </w:p>
    <w:p w14:paraId="27E70B11" w14:textId="77777777" w:rsidR="006C4889" w:rsidRDefault="006C4889" w:rsidP="00CF0415">
      <w:pPr>
        <w:jc w:val="center"/>
        <w:rPr>
          <w:rFonts w:ascii="Noto Sans" w:hAnsi="Noto Sans" w:cs="Noto Sans"/>
          <w:b/>
          <w:color w:val="000000" w:themeColor="text1"/>
          <w:spacing w:val="-2"/>
          <w:sz w:val="20"/>
          <w:szCs w:val="20"/>
        </w:rPr>
      </w:pPr>
    </w:p>
    <w:p w14:paraId="3D5774CC" w14:textId="77777777" w:rsidR="006C4889" w:rsidRPr="006C4889" w:rsidRDefault="006C4889" w:rsidP="006C4889">
      <w:pPr>
        <w:jc w:val="center"/>
        <w:rPr>
          <w:rFonts w:ascii="Noto Sans" w:hAnsi="Noto Sans" w:cs="Noto Sans"/>
          <w:color w:val="000000" w:themeColor="text1"/>
          <w:spacing w:val="-2"/>
          <w:sz w:val="20"/>
          <w:szCs w:val="20"/>
          <w:lang w:val="es-MX"/>
        </w:rPr>
      </w:pPr>
      <w:r w:rsidRPr="006C4889">
        <w:rPr>
          <w:rFonts w:ascii="Noto Sans" w:hAnsi="Noto Sans" w:cs="Noto Sans"/>
          <w:b/>
          <w:bCs/>
          <w:color w:val="000000" w:themeColor="text1"/>
          <w:spacing w:val="-2"/>
          <w:sz w:val="20"/>
          <w:szCs w:val="20"/>
        </w:rPr>
        <w:t> </w:t>
      </w:r>
    </w:p>
    <w:p w14:paraId="5F28896E" w14:textId="77777777" w:rsidR="006C4889" w:rsidRPr="006C4889" w:rsidRDefault="006C4889" w:rsidP="006C4889">
      <w:pPr>
        <w:rPr>
          <w:rFonts w:ascii="Noto Sans" w:hAnsi="Noto Sans" w:cs="Noto Sans"/>
          <w:color w:val="000000" w:themeColor="text1"/>
          <w:spacing w:val="-2"/>
          <w:sz w:val="20"/>
          <w:szCs w:val="20"/>
          <w:lang w:val="es-MX"/>
        </w:rPr>
      </w:pPr>
      <w:r w:rsidRPr="006C4889">
        <w:rPr>
          <w:rFonts w:ascii="Noto Sans" w:hAnsi="Noto Sans" w:cs="Noto Sans"/>
          <w:b/>
          <w:bCs/>
          <w:color w:val="000000" w:themeColor="text1"/>
          <w:spacing w:val="-2"/>
          <w:sz w:val="20"/>
          <w:szCs w:val="20"/>
        </w:rPr>
        <w:t>LINK DE FOTOS</w:t>
      </w:r>
    </w:p>
    <w:p w14:paraId="312D1A34" w14:textId="77777777" w:rsidR="006C4889" w:rsidRPr="006C4889" w:rsidRDefault="006C4889" w:rsidP="006C4889">
      <w:pPr>
        <w:rPr>
          <w:rFonts w:ascii="Noto Sans" w:hAnsi="Noto Sans" w:cs="Noto Sans"/>
          <w:color w:val="000000" w:themeColor="text1"/>
          <w:spacing w:val="-2"/>
          <w:sz w:val="20"/>
          <w:szCs w:val="20"/>
          <w:lang w:val="es-MX"/>
        </w:rPr>
      </w:pPr>
      <w:hyperlink r:id="rId7" w:tgtFrame="_blank" w:history="1">
        <w:r w:rsidRPr="006C4889">
          <w:rPr>
            <w:rStyle w:val="Hipervnculo"/>
            <w:rFonts w:ascii="Noto Sans" w:hAnsi="Noto Sans" w:cs="Noto Sans"/>
            <w:spacing w:val="-2"/>
            <w:sz w:val="20"/>
            <w:szCs w:val="20"/>
          </w:rPr>
          <w:t>https://drive.google.com/drive/folders/1NStmOoQrKh4OtszI5-82mM5JB9vD3oI5?usp=sharing</w:t>
        </w:r>
      </w:hyperlink>
    </w:p>
    <w:p w14:paraId="2A52FD2E" w14:textId="77777777" w:rsidR="006C4889" w:rsidRPr="006C4889" w:rsidRDefault="006C4889" w:rsidP="006C4889">
      <w:pPr>
        <w:rPr>
          <w:rFonts w:ascii="Noto Sans" w:hAnsi="Noto Sans" w:cs="Noto Sans"/>
          <w:color w:val="000000" w:themeColor="text1"/>
          <w:spacing w:val="-2"/>
          <w:sz w:val="20"/>
          <w:szCs w:val="20"/>
          <w:lang w:val="es-MX"/>
        </w:rPr>
      </w:pPr>
      <w:r w:rsidRPr="006C4889">
        <w:rPr>
          <w:rFonts w:ascii="Noto Sans" w:hAnsi="Noto Sans" w:cs="Noto Sans"/>
          <w:color w:val="000000" w:themeColor="text1"/>
          <w:spacing w:val="-2"/>
          <w:sz w:val="20"/>
          <w:szCs w:val="20"/>
        </w:rPr>
        <w:t> </w:t>
      </w:r>
    </w:p>
    <w:p w14:paraId="4CC7A1B5" w14:textId="77777777" w:rsidR="006C4889" w:rsidRPr="006C4889" w:rsidRDefault="006C4889" w:rsidP="006C4889">
      <w:pPr>
        <w:rPr>
          <w:rFonts w:ascii="Noto Sans" w:hAnsi="Noto Sans" w:cs="Noto Sans"/>
          <w:color w:val="000000" w:themeColor="text1"/>
          <w:spacing w:val="-2"/>
          <w:sz w:val="20"/>
          <w:szCs w:val="20"/>
          <w:lang w:val="es-MX"/>
        </w:rPr>
      </w:pPr>
      <w:r w:rsidRPr="006C4889">
        <w:rPr>
          <w:rFonts w:ascii="Noto Sans" w:hAnsi="Noto Sans" w:cs="Noto Sans"/>
          <w:b/>
          <w:bCs/>
          <w:color w:val="000000" w:themeColor="text1"/>
          <w:spacing w:val="-2"/>
          <w:sz w:val="20"/>
          <w:szCs w:val="20"/>
        </w:rPr>
        <w:t>LINK DE VIDEO</w:t>
      </w:r>
    </w:p>
    <w:p w14:paraId="219367FC" w14:textId="77777777" w:rsidR="006C4889" w:rsidRPr="006C4889" w:rsidRDefault="006C4889" w:rsidP="006C4889">
      <w:pPr>
        <w:rPr>
          <w:rFonts w:ascii="Noto Sans" w:hAnsi="Noto Sans" w:cs="Noto Sans"/>
          <w:color w:val="000000" w:themeColor="text1"/>
          <w:spacing w:val="-2"/>
          <w:sz w:val="20"/>
          <w:szCs w:val="20"/>
          <w:lang w:val="es-MX"/>
        </w:rPr>
      </w:pPr>
      <w:hyperlink r:id="rId8" w:tgtFrame="_blank" w:history="1">
        <w:r w:rsidRPr="006C4889">
          <w:rPr>
            <w:rStyle w:val="Hipervnculo"/>
            <w:rFonts w:ascii="Noto Sans" w:hAnsi="Noto Sans" w:cs="Noto Sans"/>
            <w:b/>
            <w:bCs/>
            <w:spacing w:val="-2"/>
            <w:sz w:val="20"/>
            <w:szCs w:val="20"/>
          </w:rPr>
          <w:t>https://www.swisstransfer.com/d/92f8c29c-d46d-4cd3-9eca-9baa4a80216d</w:t>
        </w:r>
      </w:hyperlink>
    </w:p>
    <w:p w14:paraId="52EEB78B" w14:textId="77777777" w:rsidR="006C4889" w:rsidRPr="00CF0415" w:rsidRDefault="006C4889" w:rsidP="006C4889">
      <w:pPr>
        <w:rPr>
          <w:rFonts w:ascii="Noto Sans" w:hAnsi="Noto Sans" w:cs="Noto Sans"/>
          <w:color w:val="000000" w:themeColor="text1"/>
          <w:spacing w:val="-2"/>
          <w:sz w:val="20"/>
          <w:szCs w:val="20"/>
        </w:rPr>
      </w:pPr>
    </w:p>
    <w:sectPr w:rsidR="006C4889" w:rsidRPr="00CF0415">
      <w:headerReference w:type="even" r:id="rId9"/>
      <w:headerReference w:type="default" r:id="rId10"/>
      <w:headerReference w:type="first" r:id="rId11"/>
      <w:pgSz w:w="12240" w:h="15840"/>
      <w:pgMar w:top="2342" w:right="1134" w:bottom="1985" w:left="1134" w:header="709" w:footer="0" w:gutter="0"/>
      <w:cols w:space="720"/>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6641899" w14:textId="77777777" w:rsidR="000A0A68" w:rsidRDefault="000A0A68">
      <w:r>
        <w:separator/>
      </w:r>
    </w:p>
  </w:endnote>
  <w:endnote w:type="continuationSeparator" w:id="0">
    <w:p w14:paraId="26F29B0F" w14:textId="77777777" w:rsidR="000A0A68" w:rsidRDefault="000A0A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Yu Mincho">
    <w:altName w:val="MS Mincho"/>
    <w:charset w:val="80"/>
    <w:family w:val="roman"/>
    <w:pitch w:val="variable"/>
    <w:sig w:usb0="800002E7" w:usb1="2AC7FCFF" w:usb2="00000012" w:usb3="00000000" w:csb0="0002009F" w:csb1="00000000"/>
  </w:font>
  <w:font w:name="OpenSymbol">
    <w:altName w:val="Segoe UI Symbol"/>
    <w:charset w:val="02"/>
    <w:family w:val="auto"/>
    <w:pitch w:val="default"/>
  </w:font>
  <w:font w:name="Liberation Sans">
    <w:altName w:val="Arial"/>
    <w:charset w:val="00"/>
    <w:family w:val="swiss"/>
    <w:pitch w:val="variable"/>
  </w:font>
  <w:font w:name="Microsoft YaHei">
    <w:panose1 w:val="020B0503020204020204"/>
    <w:charset w:val="86"/>
    <w:family w:val="swiss"/>
    <w:pitch w:val="variable"/>
    <w:sig w:usb0="80000287" w:usb1="2ACF3C50" w:usb2="00000016" w:usb3="00000000" w:csb0="0004001F" w:csb1="00000000"/>
  </w:font>
  <w:font w:name="Lucida Sans">
    <w:panose1 w:val="020B0602030504020204"/>
    <w:charset w:val="00"/>
    <w:family w:val="swiss"/>
    <w:pitch w:val="variable"/>
    <w:sig w:usb0="00000003" w:usb1="00000000" w:usb2="00000000" w:usb3="00000000" w:csb0="00000001" w:csb1="00000000"/>
  </w:font>
  <w:font w:name="Noto Sans">
    <w:altName w:val="Calibri"/>
    <w:charset w:val="00"/>
    <w:family w:val="swiss"/>
    <w:pitch w:val="variable"/>
    <w:sig w:usb0="E00002FF" w:usb1="400078FF" w:usb2="08000029" w:usb3="00000000" w:csb0="0000019F" w:csb1="00000000"/>
  </w:font>
  <w:font w:name="Montserrat Medium">
    <w:charset w:val="00"/>
    <w:family w:val="auto"/>
    <w:pitch w:val="variable"/>
    <w:sig w:usb0="2000020F" w:usb1="00000003" w:usb2="00000000" w:usb3="00000000" w:csb0="00000197" w:csb1="00000000"/>
  </w:font>
  <w:font w:name="Geomanist">
    <w:altName w:val="Calibri"/>
    <w:panose1 w:val="00000000000000000000"/>
    <w:charset w:val="00"/>
    <w:family w:val="modern"/>
    <w:notTrueType/>
    <w:pitch w:val="variable"/>
    <w:sig w:usb0="A000002F" w:usb1="1000004A" w:usb2="00000000" w:usb3="00000000" w:csb0="00000193"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69C74F9" w14:textId="77777777" w:rsidR="000A0A68" w:rsidRDefault="000A0A68">
      <w:r>
        <w:separator/>
      </w:r>
    </w:p>
  </w:footnote>
  <w:footnote w:type="continuationSeparator" w:id="0">
    <w:p w14:paraId="0F1C535C" w14:textId="77777777" w:rsidR="000A0A68" w:rsidRDefault="000A0A6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94DDA8B" w14:textId="77777777" w:rsidR="006F17A3" w:rsidRDefault="006F17A3">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71ED3AD" w14:textId="77777777" w:rsidR="006F17A3" w:rsidRDefault="00A36CAC">
    <w:pPr>
      <w:pStyle w:val="Encabezado"/>
    </w:pPr>
    <w:r>
      <w:rPr>
        <w:noProof/>
      </w:rPr>
      <w:drawing>
        <wp:anchor distT="0" distB="0" distL="0" distR="0" simplePos="0" relativeHeight="251657216" behindDoc="1" locked="0" layoutInCell="1" allowOverlap="1" wp14:anchorId="6202DCB4" wp14:editId="22D9E1C6">
          <wp:simplePos x="0" y="0"/>
          <wp:positionH relativeFrom="column">
            <wp:posOffset>-937895</wp:posOffset>
          </wp:positionH>
          <wp:positionV relativeFrom="paragraph">
            <wp:posOffset>-492125</wp:posOffset>
          </wp:positionV>
          <wp:extent cx="7833360" cy="10137140"/>
          <wp:effectExtent l="0" t="0" r="0" b="0"/>
          <wp:wrapNone/>
          <wp:docPr id="2" name="Imagen 7678004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n 767800452"/>
                  <pic:cNvPicPr>
                    <a:picLocks noChangeAspect="1" noChangeArrowheads="1"/>
                  </pic:cNvPicPr>
                </pic:nvPicPr>
                <pic:blipFill>
                  <a:blip r:embed="rId1"/>
                  <a:stretch>
                    <a:fillRect/>
                  </a:stretch>
                </pic:blipFill>
                <pic:spPr bwMode="auto">
                  <a:xfrm>
                    <a:off x="0" y="0"/>
                    <a:ext cx="7833360" cy="10137140"/>
                  </a:xfrm>
                  <a:prstGeom prst="rect">
                    <a:avLst/>
                  </a:prstGeom>
                  <a:noFill/>
                </pic:spPr>
              </pic:pic>
            </a:graphicData>
          </a:graphic>
        </wp:anchor>
      </w:drawing>
    </w:r>
  </w:p>
  <w:p w14:paraId="04AB7C60" w14:textId="77777777" w:rsidR="006F17A3" w:rsidRDefault="006F17A3">
    <w:pPr>
      <w:pStyle w:val="Encabezado"/>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4A1AEA2" w14:textId="77777777" w:rsidR="006F17A3" w:rsidRDefault="00A36CAC">
    <w:pPr>
      <w:pStyle w:val="Encabezado"/>
    </w:pPr>
    <w:r>
      <w:rPr>
        <w:noProof/>
      </w:rPr>
      <w:drawing>
        <wp:anchor distT="0" distB="0" distL="0" distR="0" simplePos="0" relativeHeight="251658240" behindDoc="1" locked="0" layoutInCell="1" allowOverlap="1" wp14:anchorId="1BB7307D" wp14:editId="5DCBF0CB">
          <wp:simplePos x="0" y="0"/>
          <wp:positionH relativeFrom="column">
            <wp:posOffset>-937895</wp:posOffset>
          </wp:positionH>
          <wp:positionV relativeFrom="paragraph">
            <wp:posOffset>-492125</wp:posOffset>
          </wp:positionV>
          <wp:extent cx="7833360" cy="10137140"/>
          <wp:effectExtent l="0" t="0" r="0" b="0"/>
          <wp:wrapNone/>
          <wp:docPr id="3" name="Imagen 7678004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n 767800452"/>
                  <pic:cNvPicPr>
                    <a:picLocks noChangeAspect="1" noChangeArrowheads="1"/>
                  </pic:cNvPicPr>
                </pic:nvPicPr>
                <pic:blipFill>
                  <a:blip r:embed="rId1"/>
                  <a:stretch>
                    <a:fillRect/>
                  </a:stretch>
                </pic:blipFill>
                <pic:spPr bwMode="auto">
                  <a:xfrm>
                    <a:off x="0" y="0"/>
                    <a:ext cx="7833360" cy="10137140"/>
                  </a:xfrm>
                  <a:prstGeom prst="rect">
                    <a:avLst/>
                  </a:prstGeom>
                  <a:noFill/>
                </pic:spPr>
              </pic:pic>
            </a:graphicData>
          </a:graphic>
        </wp:anchor>
      </w:drawing>
    </w:r>
  </w:p>
  <w:p w14:paraId="09B547C9" w14:textId="77777777" w:rsidR="006F17A3" w:rsidRDefault="006F17A3">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66E043E"/>
    <w:multiLevelType w:val="multilevel"/>
    <w:tmpl w:val="B79A45EE"/>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15:restartNumberingAfterBreak="0">
    <w:nsid w:val="4CBA3545"/>
    <w:multiLevelType w:val="hybridMultilevel"/>
    <w:tmpl w:val="99585F18"/>
    <w:lvl w:ilvl="0" w:tplc="080A0001">
      <w:start w:val="1"/>
      <w:numFmt w:val="bullet"/>
      <w:lvlText w:val=""/>
      <w:lvlJc w:val="left"/>
      <w:pPr>
        <w:ind w:left="721" w:hanging="360"/>
      </w:pPr>
      <w:rPr>
        <w:rFonts w:ascii="Symbol" w:hAnsi="Symbol" w:hint="default"/>
      </w:rPr>
    </w:lvl>
    <w:lvl w:ilvl="1" w:tplc="080A0003" w:tentative="1">
      <w:start w:val="1"/>
      <w:numFmt w:val="bullet"/>
      <w:lvlText w:val="o"/>
      <w:lvlJc w:val="left"/>
      <w:pPr>
        <w:ind w:left="1441" w:hanging="360"/>
      </w:pPr>
      <w:rPr>
        <w:rFonts w:ascii="Courier New" w:hAnsi="Courier New" w:cs="Courier New" w:hint="default"/>
      </w:rPr>
    </w:lvl>
    <w:lvl w:ilvl="2" w:tplc="080A0005" w:tentative="1">
      <w:start w:val="1"/>
      <w:numFmt w:val="bullet"/>
      <w:lvlText w:val=""/>
      <w:lvlJc w:val="left"/>
      <w:pPr>
        <w:ind w:left="2161" w:hanging="360"/>
      </w:pPr>
      <w:rPr>
        <w:rFonts w:ascii="Wingdings" w:hAnsi="Wingdings" w:hint="default"/>
      </w:rPr>
    </w:lvl>
    <w:lvl w:ilvl="3" w:tplc="080A0001" w:tentative="1">
      <w:start w:val="1"/>
      <w:numFmt w:val="bullet"/>
      <w:lvlText w:val=""/>
      <w:lvlJc w:val="left"/>
      <w:pPr>
        <w:ind w:left="2881" w:hanging="360"/>
      </w:pPr>
      <w:rPr>
        <w:rFonts w:ascii="Symbol" w:hAnsi="Symbol" w:hint="default"/>
      </w:rPr>
    </w:lvl>
    <w:lvl w:ilvl="4" w:tplc="080A0003" w:tentative="1">
      <w:start w:val="1"/>
      <w:numFmt w:val="bullet"/>
      <w:lvlText w:val="o"/>
      <w:lvlJc w:val="left"/>
      <w:pPr>
        <w:ind w:left="3601" w:hanging="360"/>
      </w:pPr>
      <w:rPr>
        <w:rFonts w:ascii="Courier New" w:hAnsi="Courier New" w:cs="Courier New" w:hint="default"/>
      </w:rPr>
    </w:lvl>
    <w:lvl w:ilvl="5" w:tplc="080A0005" w:tentative="1">
      <w:start w:val="1"/>
      <w:numFmt w:val="bullet"/>
      <w:lvlText w:val=""/>
      <w:lvlJc w:val="left"/>
      <w:pPr>
        <w:ind w:left="4321" w:hanging="360"/>
      </w:pPr>
      <w:rPr>
        <w:rFonts w:ascii="Wingdings" w:hAnsi="Wingdings" w:hint="default"/>
      </w:rPr>
    </w:lvl>
    <w:lvl w:ilvl="6" w:tplc="080A0001" w:tentative="1">
      <w:start w:val="1"/>
      <w:numFmt w:val="bullet"/>
      <w:lvlText w:val=""/>
      <w:lvlJc w:val="left"/>
      <w:pPr>
        <w:ind w:left="5041" w:hanging="360"/>
      </w:pPr>
      <w:rPr>
        <w:rFonts w:ascii="Symbol" w:hAnsi="Symbol" w:hint="default"/>
      </w:rPr>
    </w:lvl>
    <w:lvl w:ilvl="7" w:tplc="080A0003" w:tentative="1">
      <w:start w:val="1"/>
      <w:numFmt w:val="bullet"/>
      <w:lvlText w:val="o"/>
      <w:lvlJc w:val="left"/>
      <w:pPr>
        <w:ind w:left="5761" w:hanging="360"/>
      </w:pPr>
      <w:rPr>
        <w:rFonts w:ascii="Courier New" w:hAnsi="Courier New" w:cs="Courier New" w:hint="default"/>
      </w:rPr>
    </w:lvl>
    <w:lvl w:ilvl="8" w:tplc="080A0005" w:tentative="1">
      <w:start w:val="1"/>
      <w:numFmt w:val="bullet"/>
      <w:lvlText w:val=""/>
      <w:lvlJc w:val="left"/>
      <w:pPr>
        <w:ind w:left="6481" w:hanging="360"/>
      </w:pPr>
      <w:rPr>
        <w:rFonts w:ascii="Wingdings" w:hAnsi="Wingdings" w:hint="default"/>
      </w:rPr>
    </w:lvl>
  </w:abstractNum>
  <w:abstractNum w:abstractNumId="2" w15:restartNumberingAfterBreak="0">
    <w:nsid w:val="640A1EED"/>
    <w:multiLevelType w:val="multilevel"/>
    <w:tmpl w:val="47DAFDAE"/>
    <w:lvl w:ilvl="0">
      <w:start w:val="1"/>
      <w:numFmt w:val="bullet"/>
      <w:lvlText w:val=""/>
      <w:lvlJc w:val="left"/>
      <w:pPr>
        <w:tabs>
          <w:tab w:val="num" w:pos="0"/>
        </w:tabs>
        <w:ind w:left="579" w:hanging="360"/>
      </w:pPr>
      <w:rPr>
        <w:rFonts w:ascii="Symbol" w:hAnsi="Symbol" w:cs="Symbol" w:hint="default"/>
      </w:rPr>
    </w:lvl>
    <w:lvl w:ilvl="1">
      <w:start w:val="1"/>
      <w:numFmt w:val="bullet"/>
      <w:lvlText w:val="o"/>
      <w:lvlJc w:val="left"/>
      <w:pPr>
        <w:tabs>
          <w:tab w:val="num" w:pos="0"/>
        </w:tabs>
        <w:ind w:left="1299" w:hanging="360"/>
      </w:pPr>
      <w:rPr>
        <w:rFonts w:ascii="Courier New" w:hAnsi="Courier New" w:cs="Courier New" w:hint="default"/>
      </w:rPr>
    </w:lvl>
    <w:lvl w:ilvl="2">
      <w:start w:val="1"/>
      <w:numFmt w:val="bullet"/>
      <w:lvlText w:val=""/>
      <w:lvlJc w:val="left"/>
      <w:pPr>
        <w:tabs>
          <w:tab w:val="num" w:pos="0"/>
        </w:tabs>
        <w:ind w:left="2019" w:hanging="360"/>
      </w:pPr>
      <w:rPr>
        <w:rFonts w:ascii="Wingdings" w:hAnsi="Wingdings" w:cs="Wingdings" w:hint="default"/>
      </w:rPr>
    </w:lvl>
    <w:lvl w:ilvl="3">
      <w:start w:val="1"/>
      <w:numFmt w:val="bullet"/>
      <w:lvlText w:val=""/>
      <w:lvlJc w:val="left"/>
      <w:pPr>
        <w:tabs>
          <w:tab w:val="num" w:pos="0"/>
        </w:tabs>
        <w:ind w:left="2739" w:hanging="360"/>
      </w:pPr>
      <w:rPr>
        <w:rFonts w:ascii="Symbol" w:hAnsi="Symbol" w:cs="Symbol" w:hint="default"/>
      </w:rPr>
    </w:lvl>
    <w:lvl w:ilvl="4">
      <w:start w:val="1"/>
      <w:numFmt w:val="bullet"/>
      <w:lvlText w:val="o"/>
      <w:lvlJc w:val="left"/>
      <w:pPr>
        <w:tabs>
          <w:tab w:val="num" w:pos="0"/>
        </w:tabs>
        <w:ind w:left="3459" w:hanging="360"/>
      </w:pPr>
      <w:rPr>
        <w:rFonts w:ascii="Courier New" w:hAnsi="Courier New" w:cs="Courier New" w:hint="default"/>
      </w:rPr>
    </w:lvl>
    <w:lvl w:ilvl="5">
      <w:start w:val="1"/>
      <w:numFmt w:val="bullet"/>
      <w:lvlText w:val=""/>
      <w:lvlJc w:val="left"/>
      <w:pPr>
        <w:tabs>
          <w:tab w:val="num" w:pos="0"/>
        </w:tabs>
        <w:ind w:left="4179" w:hanging="360"/>
      </w:pPr>
      <w:rPr>
        <w:rFonts w:ascii="Wingdings" w:hAnsi="Wingdings" w:cs="Wingdings" w:hint="default"/>
      </w:rPr>
    </w:lvl>
    <w:lvl w:ilvl="6">
      <w:start w:val="1"/>
      <w:numFmt w:val="bullet"/>
      <w:lvlText w:val=""/>
      <w:lvlJc w:val="left"/>
      <w:pPr>
        <w:tabs>
          <w:tab w:val="num" w:pos="0"/>
        </w:tabs>
        <w:ind w:left="4899" w:hanging="360"/>
      </w:pPr>
      <w:rPr>
        <w:rFonts w:ascii="Symbol" w:hAnsi="Symbol" w:cs="Symbol" w:hint="default"/>
      </w:rPr>
    </w:lvl>
    <w:lvl w:ilvl="7">
      <w:start w:val="1"/>
      <w:numFmt w:val="bullet"/>
      <w:lvlText w:val="o"/>
      <w:lvlJc w:val="left"/>
      <w:pPr>
        <w:tabs>
          <w:tab w:val="num" w:pos="0"/>
        </w:tabs>
        <w:ind w:left="5619" w:hanging="360"/>
      </w:pPr>
      <w:rPr>
        <w:rFonts w:ascii="Courier New" w:hAnsi="Courier New" w:cs="Courier New" w:hint="default"/>
      </w:rPr>
    </w:lvl>
    <w:lvl w:ilvl="8">
      <w:start w:val="1"/>
      <w:numFmt w:val="bullet"/>
      <w:lvlText w:val=""/>
      <w:lvlJc w:val="left"/>
      <w:pPr>
        <w:tabs>
          <w:tab w:val="num" w:pos="0"/>
        </w:tabs>
        <w:ind w:left="6339" w:hanging="360"/>
      </w:pPr>
      <w:rPr>
        <w:rFonts w:ascii="Wingdings" w:hAnsi="Wingdings" w:cs="Wingdings" w:hint="default"/>
      </w:rPr>
    </w:lvl>
  </w:abstractNum>
  <w:abstractNum w:abstractNumId="3" w15:restartNumberingAfterBreak="0">
    <w:nsid w:val="703E5080"/>
    <w:multiLevelType w:val="multilevel"/>
    <w:tmpl w:val="1E3AF86E"/>
    <w:lvl w:ilvl="0">
      <w:start w:val="1"/>
      <w:numFmt w:val="bullet"/>
      <w:lvlText w:val=""/>
      <w:lvlJc w:val="left"/>
      <w:pPr>
        <w:tabs>
          <w:tab w:val="num" w:pos="709"/>
        </w:tabs>
        <w:ind w:left="709" w:hanging="283"/>
      </w:pPr>
      <w:rPr>
        <w:rFonts w:ascii="Symbol" w:hAnsi="Symbol" w:cs="Symbol" w:hint="default"/>
      </w:rPr>
    </w:lvl>
    <w:lvl w:ilvl="1">
      <w:start w:val="1"/>
      <w:numFmt w:val="bullet"/>
      <w:lvlText w:val=""/>
      <w:lvlJc w:val="left"/>
      <w:pPr>
        <w:tabs>
          <w:tab w:val="num" w:pos="1418"/>
        </w:tabs>
        <w:ind w:left="1418" w:hanging="283"/>
      </w:pPr>
      <w:rPr>
        <w:rFonts w:ascii="Symbol" w:hAnsi="Symbol" w:cs="Symbol" w:hint="default"/>
      </w:rPr>
    </w:lvl>
    <w:lvl w:ilvl="2">
      <w:start w:val="1"/>
      <w:numFmt w:val="bullet"/>
      <w:lvlText w:val=""/>
      <w:lvlJc w:val="left"/>
      <w:pPr>
        <w:tabs>
          <w:tab w:val="num" w:pos="2127"/>
        </w:tabs>
        <w:ind w:left="2127" w:hanging="283"/>
      </w:pPr>
      <w:rPr>
        <w:rFonts w:ascii="Symbol" w:hAnsi="Symbol" w:cs="Symbol" w:hint="default"/>
      </w:rPr>
    </w:lvl>
    <w:lvl w:ilvl="3">
      <w:start w:val="1"/>
      <w:numFmt w:val="bullet"/>
      <w:lvlText w:val=""/>
      <w:lvlJc w:val="left"/>
      <w:pPr>
        <w:tabs>
          <w:tab w:val="num" w:pos="2836"/>
        </w:tabs>
        <w:ind w:left="2836" w:hanging="283"/>
      </w:pPr>
      <w:rPr>
        <w:rFonts w:ascii="Symbol" w:hAnsi="Symbol" w:cs="Symbol" w:hint="default"/>
      </w:rPr>
    </w:lvl>
    <w:lvl w:ilvl="4">
      <w:start w:val="1"/>
      <w:numFmt w:val="bullet"/>
      <w:lvlText w:val=""/>
      <w:lvlJc w:val="left"/>
      <w:pPr>
        <w:tabs>
          <w:tab w:val="num" w:pos="3545"/>
        </w:tabs>
        <w:ind w:left="3545" w:hanging="283"/>
      </w:pPr>
      <w:rPr>
        <w:rFonts w:ascii="Symbol" w:hAnsi="Symbol" w:cs="Symbol" w:hint="default"/>
      </w:rPr>
    </w:lvl>
    <w:lvl w:ilvl="5">
      <w:start w:val="1"/>
      <w:numFmt w:val="bullet"/>
      <w:lvlText w:val=""/>
      <w:lvlJc w:val="left"/>
      <w:pPr>
        <w:tabs>
          <w:tab w:val="num" w:pos="4254"/>
        </w:tabs>
        <w:ind w:left="4254" w:hanging="283"/>
      </w:pPr>
      <w:rPr>
        <w:rFonts w:ascii="Symbol" w:hAnsi="Symbol" w:cs="Symbol" w:hint="default"/>
      </w:rPr>
    </w:lvl>
    <w:lvl w:ilvl="6">
      <w:start w:val="1"/>
      <w:numFmt w:val="bullet"/>
      <w:lvlText w:val=""/>
      <w:lvlJc w:val="left"/>
      <w:pPr>
        <w:tabs>
          <w:tab w:val="num" w:pos="4963"/>
        </w:tabs>
        <w:ind w:left="4963" w:hanging="283"/>
      </w:pPr>
      <w:rPr>
        <w:rFonts w:ascii="Symbol" w:hAnsi="Symbol" w:cs="Symbol" w:hint="default"/>
      </w:rPr>
    </w:lvl>
    <w:lvl w:ilvl="7">
      <w:start w:val="1"/>
      <w:numFmt w:val="bullet"/>
      <w:lvlText w:val=""/>
      <w:lvlJc w:val="left"/>
      <w:pPr>
        <w:tabs>
          <w:tab w:val="num" w:pos="5672"/>
        </w:tabs>
        <w:ind w:left="5672" w:hanging="283"/>
      </w:pPr>
      <w:rPr>
        <w:rFonts w:ascii="Symbol" w:hAnsi="Symbol" w:cs="Symbol" w:hint="default"/>
      </w:rPr>
    </w:lvl>
    <w:lvl w:ilvl="8">
      <w:start w:val="1"/>
      <w:numFmt w:val="bullet"/>
      <w:lvlText w:val=""/>
      <w:lvlJc w:val="left"/>
      <w:pPr>
        <w:tabs>
          <w:tab w:val="num" w:pos="6381"/>
        </w:tabs>
        <w:ind w:left="6381" w:hanging="283"/>
      </w:pPr>
      <w:rPr>
        <w:rFonts w:ascii="Symbol" w:hAnsi="Symbol" w:cs="Symbol" w:hint="default"/>
      </w:rPr>
    </w:lvl>
  </w:abstractNum>
  <w:num w:numId="1" w16cid:durableId="554240950">
    <w:abstractNumId w:val="2"/>
  </w:num>
  <w:num w:numId="2" w16cid:durableId="1030103050">
    <w:abstractNumId w:val="3"/>
  </w:num>
  <w:num w:numId="3" w16cid:durableId="1883905956">
    <w:abstractNumId w:val="0"/>
  </w:num>
  <w:num w:numId="4" w16cid:durableId="55184446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mirrorMargins/>
  <w:defaultTabStop w:val="708"/>
  <w:autoHyphenation/>
  <w:hyphenationZone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F17A3"/>
    <w:rsid w:val="000A0A68"/>
    <w:rsid w:val="000E30AB"/>
    <w:rsid w:val="002F73CA"/>
    <w:rsid w:val="004047A8"/>
    <w:rsid w:val="00526446"/>
    <w:rsid w:val="006C4889"/>
    <w:rsid w:val="006F17A3"/>
    <w:rsid w:val="00791E7F"/>
    <w:rsid w:val="00813F78"/>
    <w:rsid w:val="00977C38"/>
    <w:rsid w:val="00A36CAC"/>
    <w:rsid w:val="00B33C11"/>
    <w:rsid w:val="00B72128"/>
    <w:rsid w:val="00CF0415"/>
    <w:rsid w:val="00D12FA5"/>
    <w:rsid w:val="00D623C1"/>
    <w:rsid w:val="00DA5642"/>
    <w:rsid w:val="00FA2A10"/>
    <w:rsid w:val="00FC31A5"/>
  </w:rsids>
  <m:mathPr>
    <m:mathFont m:val="Cambria Math"/>
    <m:brkBin m:val="before"/>
    <m:brkBinSub m:val="--"/>
    <m:smallFrac m:val="0"/>
    <m:dispDef/>
    <m:lMargin m:val="0"/>
    <m:rMargin m:val="0"/>
    <m:defJc m:val="centerGroup"/>
    <m:wrapIndent m:val="1440"/>
    <m:intLim m:val="subSup"/>
    <m:naryLim m:val="undOvr"/>
  </m:mathPr>
  <w:themeFontLang w:val="es-MX"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93FF26"/>
  <w15:docId w15:val="{DB304B8C-971D-7C47-87FC-382ACD0720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Calibri" w:hAnsi="Calibri" w:cs="Times New Roman"/>
        <w:lang w:val="es-MX" w:eastAsia="es-MX"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eastAsia="Yu Mincho"/>
      <w:sz w:val="24"/>
      <w:szCs w:val="24"/>
      <w:lang w:val="es-ES"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EncabezadoCar">
    <w:name w:val="Encabezado Car"/>
    <w:link w:val="Encabezado"/>
    <w:uiPriority w:val="99"/>
    <w:qFormat/>
    <w:rsid w:val="00A73D65"/>
    <w:rPr>
      <w:rFonts w:eastAsia="Yu Mincho"/>
      <w:lang w:val="es-ES"/>
    </w:rPr>
  </w:style>
  <w:style w:type="character" w:customStyle="1" w:styleId="PiedepginaCar">
    <w:name w:val="Pie de página Car"/>
    <w:link w:val="Piedepgina"/>
    <w:uiPriority w:val="99"/>
    <w:qFormat/>
    <w:rsid w:val="00A73D65"/>
    <w:rPr>
      <w:rFonts w:eastAsia="Yu Mincho"/>
      <w:lang w:val="es-ES"/>
    </w:rPr>
  </w:style>
  <w:style w:type="character" w:customStyle="1" w:styleId="TextodegloboCar">
    <w:name w:val="Texto de globo Car"/>
    <w:link w:val="Textodeglobo"/>
    <w:uiPriority w:val="99"/>
    <w:semiHidden/>
    <w:qFormat/>
    <w:rsid w:val="00DA1B19"/>
    <w:rPr>
      <w:rFonts w:ascii="Times New Roman" w:eastAsia="Yu Mincho" w:hAnsi="Times New Roman" w:cs="Times New Roman"/>
      <w:sz w:val="18"/>
      <w:szCs w:val="18"/>
      <w:lang w:val="es-ES"/>
    </w:rPr>
  </w:style>
  <w:style w:type="character" w:styleId="Hipervnculo">
    <w:name w:val="Hyperlink"/>
    <w:basedOn w:val="Fuentedeprrafopredeter"/>
    <w:uiPriority w:val="99"/>
    <w:unhideWhenUsed/>
    <w:rsid w:val="00B02427"/>
    <w:rPr>
      <w:color w:val="0563C1" w:themeColor="hyperlink"/>
      <w:u w:val="single"/>
    </w:rPr>
  </w:style>
  <w:style w:type="character" w:styleId="Mencinsinresolver">
    <w:name w:val="Unresolved Mention"/>
    <w:basedOn w:val="Fuentedeprrafopredeter"/>
    <w:uiPriority w:val="99"/>
    <w:semiHidden/>
    <w:unhideWhenUsed/>
    <w:qFormat/>
    <w:rsid w:val="00B02427"/>
    <w:rPr>
      <w:color w:val="605E5C"/>
      <w:shd w:val="clear" w:color="auto" w:fill="E1DFDD"/>
    </w:rPr>
  </w:style>
  <w:style w:type="character" w:customStyle="1" w:styleId="Bolos">
    <w:name w:val="Bolos"/>
    <w:qFormat/>
    <w:rPr>
      <w:rFonts w:ascii="OpenSymbol" w:eastAsia="OpenSymbol" w:hAnsi="OpenSymbol" w:cs="OpenSymbol"/>
    </w:rPr>
  </w:style>
  <w:style w:type="paragraph" w:styleId="Ttulo">
    <w:name w:val="Title"/>
    <w:basedOn w:val="Normal"/>
    <w:next w:val="Textoindependiente"/>
    <w:qFormat/>
    <w:pPr>
      <w:keepNext/>
      <w:spacing w:before="240" w:after="120"/>
    </w:pPr>
    <w:rPr>
      <w:rFonts w:ascii="Liberation Sans" w:eastAsia="Microsoft YaHei" w:hAnsi="Liberation Sans" w:cs="Lucida Sans"/>
      <w:sz w:val="28"/>
      <w:szCs w:val="28"/>
    </w:rPr>
  </w:style>
  <w:style w:type="paragraph" w:styleId="Textoindependiente">
    <w:name w:val="Body Text"/>
    <w:basedOn w:val="Normal"/>
    <w:pPr>
      <w:spacing w:after="140" w:line="276" w:lineRule="auto"/>
    </w:pPr>
  </w:style>
  <w:style w:type="paragraph" w:styleId="Lista">
    <w:name w:val="List"/>
    <w:basedOn w:val="Textoindependiente"/>
    <w:rPr>
      <w:rFonts w:cs="Lucida Sans"/>
    </w:rPr>
  </w:style>
  <w:style w:type="paragraph" w:styleId="Descripcin">
    <w:name w:val="caption"/>
    <w:basedOn w:val="Normal"/>
    <w:qFormat/>
    <w:pPr>
      <w:suppressLineNumbers/>
      <w:spacing w:before="120" w:after="120"/>
    </w:pPr>
    <w:rPr>
      <w:rFonts w:cs="Lucida Sans"/>
      <w:i/>
      <w:iCs/>
    </w:rPr>
  </w:style>
  <w:style w:type="paragraph" w:customStyle="1" w:styleId="ndice">
    <w:name w:val="Índice"/>
    <w:basedOn w:val="Normal"/>
    <w:qFormat/>
    <w:pPr>
      <w:suppressLineNumbers/>
    </w:pPr>
    <w:rPr>
      <w:rFonts w:cs="Lucida Sans"/>
    </w:rPr>
  </w:style>
  <w:style w:type="paragraph" w:customStyle="1" w:styleId="Cabeceraypie">
    <w:name w:val="Cabecera y pie"/>
    <w:basedOn w:val="Normal"/>
    <w:qFormat/>
  </w:style>
  <w:style w:type="paragraph" w:styleId="Encabezado">
    <w:name w:val="header"/>
    <w:basedOn w:val="Normal"/>
    <w:link w:val="EncabezadoCar"/>
    <w:uiPriority w:val="99"/>
    <w:unhideWhenUsed/>
    <w:rsid w:val="00A73D65"/>
    <w:pPr>
      <w:tabs>
        <w:tab w:val="center" w:pos="4419"/>
        <w:tab w:val="right" w:pos="8838"/>
      </w:tabs>
    </w:pPr>
  </w:style>
  <w:style w:type="paragraph" w:styleId="Piedepgina">
    <w:name w:val="footer"/>
    <w:basedOn w:val="Normal"/>
    <w:link w:val="PiedepginaCar"/>
    <w:uiPriority w:val="99"/>
    <w:unhideWhenUsed/>
    <w:rsid w:val="00A73D65"/>
    <w:pPr>
      <w:tabs>
        <w:tab w:val="center" w:pos="4419"/>
        <w:tab w:val="right" w:pos="8838"/>
      </w:tabs>
    </w:pPr>
  </w:style>
  <w:style w:type="paragraph" w:styleId="Textodeglobo">
    <w:name w:val="Balloon Text"/>
    <w:basedOn w:val="Normal"/>
    <w:link w:val="TextodegloboCar"/>
    <w:uiPriority w:val="99"/>
    <w:semiHidden/>
    <w:unhideWhenUsed/>
    <w:qFormat/>
    <w:rsid w:val="00DA1B19"/>
    <w:rPr>
      <w:rFonts w:ascii="Times New Roman" w:hAnsi="Times New Roman"/>
      <w:sz w:val="18"/>
      <w:szCs w:val="18"/>
    </w:rPr>
  </w:style>
  <w:style w:type="paragraph" w:styleId="Prrafodelista">
    <w:name w:val="List Paragraph"/>
    <w:basedOn w:val="Normal"/>
    <w:uiPriority w:val="34"/>
    <w:qFormat/>
    <w:rsid w:val="00BA272E"/>
    <w:pPr>
      <w:ind w:left="720"/>
      <w:contextualSpacing/>
    </w:pPr>
  </w:style>
  <w:style w:type="paragraph" w:customStyle="1" w:styleId="Contenidodelmarco">
    <w:name w:val="Contenido del marco"/>
    <w:basedOn w:val="Normal"/>
    <w:qFormat/>
  </w:style>
  <w:style w:type="numbering" w:customStyle="1" w:styleId="Ningunalista">
    <w:name w:val="Ninguna lista"/>
    <w:uiPriority w:val="99"/>
    <w:semiHidden/>
    <w:unhideWhenUsed/>
    <w:qFormat/>
  </w:style>
  <w:style w:type="character" w:styleId="Hipervnculovisitado">
    <w:name w:val="FollowedHyperlink"/>
    <w:basedOn w:val="Fuentedeprrafopredeter"/>
    <w:uiPriority w:val="99"/>
    <w:semiHidden/>
    <w:unhideWhenUsed/>
    <w:rsid w:val="00CF0415"/>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41234193">
      <w:bodyDiv w:val="1"/>
      <w:marLeft w:val="0"/>
      <w:marRight w:val="0"/>
      <w:marTop w:val="0"/>
      <w:marBottom w:val="0"/>
      <w:divBdr>
        <w:top w:val="none" w:sz="0" w:space="0" w:color="auto"/>
        <w:left w:val="none" w:sz="0" w:space="0" w:color="auto"/>
        <w:bottom w:val="none" w:sz="0" w:space="0" w:color="auto"/>
        <w:right w:val="none" w:sz="0" w:space="0" w:color="auto"/>
      </w:divBdr>
    </w:div>
    <w:div w:id="65283582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swisstransfer.com/d/92f8c29c-d46d-4cd3-9eca-9baa4a80216d"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drive.google.com/drive/folders/1NStmOoQrKh4OtszI5-82mM5JB9vD3oI5?usp=sharing"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majorFont>
      <a:minorFont>
        <a:latin typeface="Calibri" panose="020F0502020204030204"/>
        <a:ea typeface=""/>
        <a:cs typeface=""/>
      </a:minorFont>
    </a:fontScheme>
    <a:fmtScheme>
      <a:fillStyleLst>
        <a:solidFill>
          <a:schemeClr val="phClr"/>
        </a:solidFill>
        <a:gradFill>
          <a:gsLst>
            <a:gs pos="0">
              <a:schemeClr val="phClr">
                <a:lumMod val="110000"/>
                <a:tint val="67000"/>
              </a:schemeClr>
            </a:gs>
            <a:gs pos="50000">
              <a:schemeClr val="phClr">
                <a:lumMod val="105000"/>
                <a:tint val="73000"/>
              </a:schemeClr>
            </a:gs>
            <a:gs pos="100000">
              <a:schemeClr val="phClr">
                <a:lumMod val="105000"/>
                <a:tint val="81000"/>
              </a:schemeClr>
            </a:gs>
          </a:gsLst>
          <a:lin ang="5400000" scaled="0"/>
          <a:tileRect/>
        </a:gradFill>
        <a:gradFill>
          <a:gsLst>
            <a:gs pos="0">
              <a:schemeClr val="phClr">
                <a:lumMod val="102000"/>
                <a:tint val="94000"/>
              </a:schemeClr>
            </a:gs>
            <a:gs pos="50000">
              <a:schemeClr val="phClr">
                <a:lumMod val="100000"/>
                <a:shade val="100000"/>
              </a:schemeClr>
            </a:gs>
            <a:gs pos="100000">
              <a:schemeClr val="phClr">
                <a:lumMod val="99000"/>
                <a:shade val="78000"/>
              </a:schemeClr>
            </a:gs>
          </a:gsLst>
          <a:lin ang="5400000" scaled="0"/>
          <a:tileRect/>
        </a:gradFill>
      </a:fillStyleLst>
      <a:lnStyleLst>
        <a:ln w="6350" cap="flat" cmpd="sng" algn="ctr">
          <a:prstDash val="solid"/>
          <a:miter lim="800000"/>
        </a:ln>
        <a:ln w="12700" cap="flat" cmpd="sng" algn="ctr">
          <a:prstDash val="solid"/>
          <a:miter lim="800000"/>
        </a:ln>
        <a:ln w="19050" cap="flat" cmpd="sng" algn="ctr">
          <a:prstDash val="solid"/>
          <a:miter lim="800000"/>
        </a:ln>
      </a:lnStyleLst>
      <a:effectStyleLst>
        <a:effectStyle>
          <a:effectLst/>
        </a:effectStyle>
        <a:effectStyle>
          <a:effectLst/>
        </a:effectStyle>
        <a:effectStyle>
          <a:effectLst/>
        </a:effectStyle>
      </a:effectStyleLst>
      <a:bgFillStyleLst>
        <a:solidFill>
          <a:schemeClr val="phClr"/>
        </a:solidFill>
        <a:solidFill>
          <a:schemeClr val="phClr">
            <a:tint val="95000"/>
          </a:schemeClr>
        </a:solidFill>
        <a:gradFill>
          <a:gsLst>
            <a:gs pos="0">
              <a:schemeClr val="phClr">
                <a:tint val="93000"/>
                <a:shade val="98000"/>
                <a:lumMod val="102000"/>
              </a:schemeClr>
            </a:gs>
            <a:gs pos="50000">
              <a:schemeClr val="phClr">
                <a:tint val="98000"/>
                <a:shade val="90000"/>
                <a:lumMod val="103000"/>
              </a:schemeClr>
            </a:gs>
            <a:gs pos="100000">
              <a:schemeClr val="phClr">
                <a:shade val="63000"/>
              </a:schemeClr>
            </a:gs>
          </a:gsLst>
          <a:lin ang="5400000" scaled="0"/>
          <a:tileRect/>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977</Words>
  <Characters>5375</Characters>
  <Application>Microsoft Office Word</Application>
  <DocSecurity>0</DocSecurity>
  <Lines>44</Lines>
  <Paragraphs>12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6340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Glenda Martínez Carranza</dc:creator>
  <dc:description/>
  <cp:lastModifiedBy>Luz Maria Rico Jardon</cp:lastModifiedBy>
  <cp:revision>2</cp:revision>
  <cp:lastPrinted>2024-10-03T14:20:00Z</cp:lastPrinted>
  <dcterms:created xsi:type="dcterms:W3CDTF">2025-03-27T20:46:00Z</dcterms:created>
  <dcterms:modified xsi:type="dcterms:W3CDTF">2025-03-27T20:46:00Z</dcterms:modified>
  <dc:language>es-MX</dc:language>
</cp:coreProperties>
</file>