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4B41902" w14:textId="79CFB426" w:rsidR="00F016D4" w:rsidRPr="00F016D4" w:rsidRDefault="00F016D4" w:rsidP="00F016D4">
      <w:pPr>
        <w:jc w:val="right"/>
        <w:rPr>
          <w:rFonts w:ascii="Noto Sans" w:eastAsiaTheme="minorEastAsia" w:hAnsi="Noto Sans" w:cs="Noto Sans"/>
          <w:color w:val="BA8C54"/>
          <w:kern w:val="0"/>
          <w:sz w:val="28"/>
          <w:szCs w:val="28"/>
          <w:lang w:val="es-ES"/>
          <w14:ligatures w14:val="none"/>
        </w:rPr>
      </w:pPr>
      <w:r w:rsidRPr="00F016D4">
        <w:rPr>
          <w:rFonts w:ascii="Noto Sans" w:eastAsiaTheme="minorEastAsia" w:hAnsi="Noto Sans" w:cs="Noto Sans"/>
          <w:color w:val="BA8C54"/>
          <w:kern w:val="0"/>
          <w:sz w:val="28"/>
          <w:szCs w:val="28"/>
          <w:lang w:val="es-ES"/>
          <w14:ligatures w14:val="none"/>
        </w:rPr>
        <w:t>BOLETÍN CONJUNTO</w:t>
      </w:r>
    </w:p>
    <w:p w14:paraId="0230EFE7" w14:textId="3138F7E0" w:rsidR="005B1EA6" w:rsidRPr="00DE7066" w:rsidRDefault="005B1EA6" w:rsidP="005B1EA6">
      <w:pPr>
        <w:jc w:val="right"/>
        <w:rPr>
          <w:rFonts w:ascii="Noto Sans" w:eastAsia="Montserrat" w:hAnsi="Noto Sans" w:cs="Noto Sans"/>
        </w:rPr>
      </w:pPr>
      <w:r w:rsidRPr="00DE7066">
        <w:rPr>
          <w:rFonts w:ascii="Noto Sans" w:eastAsia="Montserrat" w:hAnsi="Noto Sans" w:cs="Noto Sans"/>
        </w:rPr>
        <w:t xml:space="preserve">Ciudad de México, </w:t>
      </w:r>
      <w:r>
        <w:rPr>
          <w:rFonts w:ascii="Noto Sans" w:eastAsia="Montserrat" w:hAnsi="Noto Sans" w:cs="Noto Sans"/>
        </w:rPr>
        <w:t>viernes</w:t>
      </w:r>
      <w:r w:rsidRPr="00DE7066">
        <w:rPr>
          <w:rFonts w:ascii="Noto Sans" w:eastAsia="Montserrat" w:hAnsi="Noto Sans" w:cs="Noto Sans"/>
        </w:rPr>
        <w:t xml:space="preserve"> 11 de julio de 2025</w:t>
      </w:r>
    </w:p>
    <w:p w14:paraId="2A701C01" w14:textId="77777777" w:rsidR="005B1EA6" w:rsidRPr="00DE7066" w:rsidRDefault="005B1EA6" w:rsidP="005B1EA6">
      <w:pPr>
        <w:jc w:val="right"/>
        <w:rPr>
          <w:rFonts w:ascii="Noto Sans" w:eastAsia="Montserrat" w:hAnsi="Noto Sans" w:cs="Noto Sans"/>
        </w:rPr>
      </w:pPr>
      <w:r w:rsidRPr="00DE7066">
        <w:rPr>
          <w:rFonts w:ascii="Noto Sans" w:eastAsia="Montserrat" w:hAnsi="Noto Sans" w:cs="Noto Sans"/>
        </w:rPr>
        <w:t xml:space="preserve">No. </w:t>
      </w:r>
      <w:r>
        <w:rPr>
          <w:rFonts w:ascii="Noto Sans" w:eastAsia="Montserrat" w:hAnsi="Noto Sans" w:cs="Noto Sans"/>
        </w:rPr>
        <w:t>343</w:t>
      </w:r>
      <w:r w:rsidRPr="00DE7066">
        <w:rPr>
          <w:rFonts w:ascii="Noto Sans" w:eastAsia="Montserrat" w:hAnsi="Noto Sans" w:cs="Noto Sans"/>
        </w:rPr>
        <w:t>/2025</w:t>
      </w:r>
    </w:p>
    <w:p w14:paraId="672A6659" w14:textId="77777777" w:rsidR="00783423" w:rsidRDefault="00783423" w:rsidP="280DC6DA">
      <w:pPr>
        <w:jc w:val="right"/>
        <w:rPr>
          <w:rFonts w:ascii="Noto Sans" w:eastAsia="Montserrat" w:hAnsi="Noto Sans" w:cs="Noto Sans"/>
          <w:sz w:val="36"/>
          <w:szCs w:val="36"/>
        </w:rPr>
      </w:pPr>
    </w:p>
    <w:p w14:paraId="2ED09F53" w14:textId="3C905757" w:rsidR="00783423" w:rsidRDefault="280DC6DA" w:rsidP="280DC6DA">
      <w:pPr>
        <w:jc w:val="center"/>
        <w:rPr>
          <w:rFonts w:ascii="Noto Sans" w:hAnsi="Noto Sans" w:cs="Noto Sans"/>
          <w:b/>
          <w:bCs/>
          <w:i/>
          <w:sz w:val="36"/>
          <w:szCs w:val="36"/>
        </w:rPr>
      </w:pPr>
      <w:r w:rsidRPr="280DC6DA">
        <w:rPr>
          <w:rFonts w:ascii="Noto Sans" w:hAnsi="Noto Sans" w:cs="Noto Sans"/>
          <w:b/>
          <w:bCs/>
          <w:sz w:val="36"/>
          <w:szCs w:val="36"/>
        </w:rPr>
        <w:t xml:space="preserve">DAN A CONOCER LOS 100 PROYECTOS SELECCIONADOS DE LA CONVOCATORIA </w:t>
      </w:r>
      <w:r w:rsidR="007E2BD3">
        <w:rPr>
          <w:rFonts w:ascii="Noto Sans" w:hAnsi="Noto Sans" w:cs="Noto Sans"/>
          <w:b/>
          <w:bCs/>
          <w:sz w:val="36"/>
          <w:szCs w:val="36"/>
        </w:rPr>
        <w:t xml:space="preserve">NACIONAL </w:t>
      </w:r>
      <w:r w:rsidRPr="280DC6DA">
        <w:rPr>
          <w:rFonts w:ascii="Noto Sans" w:hAnsi="Noto Sans" w:cs="Noto Sans"/>
          <w:b/>
          <w:bCs/>
          <w:sz w:val="36"/>
          <w:szCs w:val="36"/>
        </w:rPr>
        <w:t>“ESCENARIOS IMSS-CULTURA</w:t>
      </w:r>
      <w:r w:rsidR="007E2BD3">
        <w:rPr>
          <w:rFonts w:ascii="Noto Sans" w:hAnsi="Noto Sans" w:cs="Noto Sans"/>
          <w:b/>
          <w:bCs/>
          <w:sz w:val="36"/>
          <w:szCs w:val="36"/>
        </w:rPr>
        <w:t xml:space="preserve"> 2025 - 2026</w:t>
      </w:r>
      <w:r w:rsidRPr="280DC6DA">
        <w:rPr>
          <w:rFonts w:ascii="Noto Sans" w:hAnsi="Noto Sans" w:cs="Noto Sans"/>
          <w:b/>
          <w:bCs/>
          <w:sz w:val="36"/>
          <w:szCs w:val="36"/>
        </w:rPr>
        <w:t>"</w:t>
      </w:r>
    </w:p>
    <w:p w14:paraId="0A37501D" w14:textId="77777777" w:rsidR="00783423" w:rsidRDefault="00783423">
      <w:pPr>
        <w:jc w:val="both"/>
        <w:rPr>
          <w:rFonts w:ascii="Noto Sans" w:hAnsi="Noto Sans" w:cs="Noto Sans"/>
          <w:b/>
          <w:bCs/>
          <w:i/>
          <w:iCs/>
        </w:rPr>
      </w:pPr>
    </w:p>
    <w:p w14:paraId="755E1D01" w14:textId="77777777" w:rsidR="00783423" w:rsidRDefault="00CF6A8A">
      <w:pPr>
        <w:pStyle w:val="Prrafodelista"/>
        <w:numPr>
          <w:ilvl w:val="0"/>
          <w:numId w:val="1"/>
        </w:numPr>
        <w:spacing w:after="160" w:line="276" w:lineRule="auto"/>
        <w:jc w:val="both"/>
        <w:rPr>
          <w:b/>
          <w:bCs/>
        </w:rPr>
      </w:pPr>
      <w:r>
        <w:rPr>
          <w:rFonts w:ascii="Noto Sans" w:hAnsi="Noto Sans" w:cs="Noto Sans"/>
          <w:b/>
          <w:bCs/>
        </w:rPr>
        <w:t>Más de 1,300 proyectos se registraron en la convocatoria</w:t>
      </w:r>
    </w:p>
    <w:p w14:paraId="7E4D39ED" w14:textId="77777777" w:rsidR="00783423" w:rsidRDefault="00CF6A8A">
      <w:pPr>
        <w:pStyle w:val="Prrafodelista"/>
        <w:numPr>
          <w:ilvl w:val="0"/>
          <w:numId w:val="1"/>
        </w:numPr>
        <w:spacing w:after="160" w:line="276" w:lineRule="auto"/>
        <w:jc w:val="both"/>
        <w:rPr>
          <w:b/>
          <w:bCs/>
        </w:rPr>
      </w:pPr>
      <w:r>
        <w:rPr>
          <w:rFonts w:ascii="Noto Sans" w:hAnsi="Noto Sans" w:cs="Noto Sans"/>
          <w:b/>
          <w:bCs/>
        </w:rPr>
        <w:t>Se seleccionaron 100 proyectos de las disciplinas de danza y teatro</w:t>
      </w:r>
    </w:p>
    <w:p w14:paraId="3B793E09" w14:textId="557A6902" w:rsidR="00BA1520" w:rsidRPr="00BA1520" w:rsidRDefault="00CF6A8A">
      <w:pPr>
        <w:pStyle w:val="Prrafodelista"/>
        <w:numPr>
          <w:ilvl w:val="0"/>
          <w:numId w:val="1"/>
        </w:numPr>
        <w:spacing w:after="160" w:line="276" w:lineRule="auto"/>
        <w:jc w:val="both"/>
        <w:rPr>
          <w:b/>
          <w:bCs/>
        </w:rPr>
      </w:pPr>
      <w:r>
        <w:rPr>
          <w:rFonts w:ascii="Noto Sans" w:hAnsi="Noto Sans" w:cs="Noto Sans"/>
          <w:b/>
          <w:bCs/>
        </w:rPr>
        <w:t>La función de estreno tendrá lugar e</w:t>
      </w:r>
      <w:r w:rsidR="0018782D">
        <w:rPr>
          <w:rFonts w:ascii="Noto Sans" w:hAnsi="Noto Sans" w:cs="Noto Sans"/>
          <w:b/>
          <w:bCs/>
        </w:rPr>
        <w:t xml:space="preserve">n </w:t>
      </w:r>
      <w:r>
        <w:rPr>
          <w:rFonts w:ascii="Noto Sans" w:hAnsi="Noto Sans" w:cs="Noto Sans"/>
          <w:b/>
          <w:bCs/>
        </w:rPr>
        <w:t>agosto en la Ciudad de Méxic</w:t>
      </w:r>
      <w:r w:rsidR="0018782D">
        <w:rPr>
          <w:rFonts w:ascii="Noto Sans" w:hAnsi="Noto Sans" w:cs="Noto Sans"/>
          <w:b/>
          <w:bCs/>
        </w:rPr>
        <w:t>o</w:t>
      </w:r>
    </w:p>
    <w:p w14:paraId="239651B4" w14:textId="5D19A26E" w:rsidR="00783423" w:rsidRDefault="00CF6A8A">
      <w:pPr>
        <w:pStyle w:val="Prrafodelista"/>
        <w:numPr>
          <w:ilvl w:val="0"/>
          <w:numId w:val="1"/>
        </w:numPr>
        <w:spacing w:after="160" w:line="276" w:lineRule="auto"/>
        <w:jc w:val="both"/>
        <w:rPr>
          <w:b/>
          <w:bCs/>
        </w:rPr>
      </w:pPr>
      <w:r>
        <w:rPr>
          <w:rFonts w:ascii="Noto Sans" w:hAnsi="Noto Sans" w:cs="Noto Sans"/>
          <w:b/>
          <w:bCs/>
        </w:rPr>
        <w:t>La programación continuará entre septiembre de 2025 y febrero de 2026</w:t>
      </w:r>
    </w:p>
    <w:p w14:paraId="5AD7A366" w14:textId="4779360F" w:rsidR="00783423" w:rsidRDefault="00BA1520">
      <w:pPr>
        <w:jc w:val="both"/>
        <w:rPr>
          <w:rFonts w:ascii="Noto Sans" w:hAnsi="Noto Sans" w:cs="Noto Sans"/>
        </w:rPr>
      </w:pPr>
      <w:r>
        <w:rPr>
          <w:rFonts w:ascii="Noto Sans" w:hAnsi="Noto Sans" w:cs="Noto Sans"/>
        </w:rPr>
        <w:t>E</w:t>
      </w:r>
      <w:r w:rsidRPr="007E0EAC">
        <w:rPr>
          <w:rFonts w:ascii="Noto Sans" w:hAnsi="Noto Sans" w:cs="Noto Sans"/>
        </w:rPr>
        <w:t xml:space="preserve">l Instituto Mexicano del Seguro Social </w:t>
      </w:r>
      <w:r>
        <w:rPr>
          <w:rFonts w:ascii="Noto Sans" w:hAnsi="Noto Sans" w:cs="Noto Sans"/>
        </w:rPr>
        <w:t>y l</w:t>
      </w:r>
      <w:r w:rsidR="280DC6DA" w:rsidRPr="007E0EAC">
        <w:rPr>
          <w:rFonts w:ascii="Noto Sans" w:hAnsi="Noto Sans" w:cs="Noto Sans"/>
        </w:rPr>
        <w:t>a Secretaría de Cultura del Gobierno de México, a través del Instituto Nacional de Bellas Artes y Literatura (INBAL),</w:t>
      </w:r>
      <w:r>
        <w:rPr>
          <w:rFonts w:ascii="Noto Sans" w:hAnsi="Noto Sans" w:cs="Noto Sans"/>
        </w:rPr>
        <w:t xml:space="preserve"> </w:t>
      </w:r>
      <w:r w:rsidR="280DC6DA" w:rsidRPr="007E0EAC">
        <w:rPr>
          <w:rFonts w:ascii="Noto Sans" w:hAnsi="Noto Sans" w:cs="Noto Sans"/>
        </w:rPr>
        <w:t xml:space="preserve">presentan los resultados de la </w:t>
      </w:r>
      <w:r w:rsidR="007E2BD3">
        <w:rPr>
          <w:rFonts w:ascii="Noto Sans" w:hAnsi="Noto Sans" w:cs="Noto Sans"/>
        </w:rPr>
        <w:t>C</w:t>
      </w:r>
      <w:r w:rsidR="280DC6DA" w:rsidRPr="007E0EAC">
        <w:rPr>
          <w:rFonts w:ascii="Noto Sans" w:hAnsi="Noto Sans" w:cs="Noto Sans"/>
        </w:rPr>
        <w:t xml:space="preserve">onvocatoria </w:t>
      </w:r>
      <w:r w:rsidR="007E2BD3">
        <w:rPr>
          <w:rFonts w:ascii="Noto Sans" w:hAnsi="Noto Sans" w:cs="Noto Sans"/>
        </w:rPr>
        <w:t>N</w:t>
      </w:r>
      <w:r w:rsidR="280DC6DA" w:rsidRPr="007E0EAC">
        <w:rPr>
          <w:rFonts w:ascii="Noto Sans" w:hAnsi="Noto Sans" w:cs="Noto Sans"/>
        </w:rPr>
        <w:t>acional “Escenarios IMSS-</w:t>
      </w:r>
      <w:r>
        <w:rPr>
          <w:rFonts w:ascii="Noto Sans" w:hAnsi="Noto Sans" w:cs="Noto Sans"/>
        </w:rPr>
        <w:t>CULTURA</w:t>
      </w:r>
      <w:r w:rsidR="007E2BD3">
        <w:rPr>
          <w:rFonts w:ascii="Noto Sans" w:hAnsi="Noto Sans" w:cs="Noto Sans"/>
        </w:rPr>
        <w:t xml:space="preserve"> 2025 - 2026</w:t>
      </w:r>
      <w:r w:rsidR="280DC6DA" w:rsidRPr="007E0EAC">
        <w:rPr>
          <w:rFonts w:ascii="Noto Sans" w:hAnsi="Noto Sans" w:cs="Noto Sans"/>
        </w:rPr>
        <w:t>", en la cual se registraron más de 1,300 proyectos.</w:t>
      </w:r>
    </w:p>
    <w:p w14:paraId="6E54E657" w14:textId="77777777" w:rsidR="00CF6A8A" w:rsidRPr="007E0EAC" w:rsidRDefault="00CF6A8A">
      <w:pPr>
        <w:jc w:val="both"/>
        <w:rPr>
          <w:rFonts w:ascii="Noto Sans" w:hAnsi="Noto Sans" w:cs="Noto Sans"/>
        </w:rPr>
      </w:pPr>
    </w:p>
    <w:p w14:paraId="02F02A03" w14:textId="2F9FB32F" w:rsidR="00BA1520" w:rsidRDefault="280DC6DA">
      <w:pPr>
        <w:jc w:val="both"/>
        <w:rPr>
          <w:rFonts w:ascii="Noto Sans" w:hAnsi="Noto Sans" w:cs="Noto Sans"/>
        </w:rPr>
      </w:pPr>
      <w:r w:rsidRPr="007E0EAC">
        <w:rPr>
          <w:rFonts w:ascii="Noto Sans" w:hAnsi="Noto Sans" w:cs="Noto Sans"/>
        </w:rPr>
        <w:t xml:space="preserve">A través de la convocatoria </w:t>
      </w:r>
      <w:r w:rsidR="00BA1520">
        <w:rPr>
          <w:rFonts w:ascii="Noto Sans" w:hAnsi="Noto Sans" w:cs="Noto Sans"/>
        </w:rPr>
        <w:t>–</w:t>
      </w:r>
      <w:r w:rsidRPr="007E0EAC">
        <w:rPr>
          <w:rFonts w:ascii="Noto Sans" w:hAnsi="Noto Sans" w:cs="Noto Sans"/>
        </w:rPr>
        <w:t>que tiene como objetivo la activación de 25 teatros de la Red Teatral del IMSS con puestas en escena de calidad, así como la inclusión y el acceso gratuito para todas las audiencias</w:t>
      </w:r>
      <w:r w:rsidR="00BA1520">
        <w:rPr>
          <w:rFonts w:ascii="Noto Sans" w:hAnsi="Noto Sans" w:cs="Noto Sans"/>
        </w:rPr>
        <w:t>–</w:t>
      </w:r>
      <w:r w:rsidRPr="007E0EAC">
        <w:rPr>
          <w:rFonts w:ascii="Noto Sans" w:hAnsi="Noto Sans" w:cs="Noto Sans"/>
        </w:rPr>
        <w:t xml:space="preserve"> </w:t>
      </w:r>
      <w:r w:rsidR="019728CA" w:rsidRPr="007E0EAC">
        <w:rPr>
          <w:rFonts w:ascii="Noto Sans" w:hAnsi="Noto Sans" w:cs="Noto Sans"/>
        </w:rPr>
        <w:t xml:space="preserve">fueron seleccionados </w:t>
      </w:r>
      <w:r w:rsidRPr="007E0EAC">
        <w:rPr>
          <w:rFonts w:ascii="Noto Sans" w:hAnsi="Noto Sans" w:cs="Noto Sans"/>
        </w:rPr>
        <w:t>100 proyectos</w:t>
      </w:r>
      <w:r w:rsidR="0085349B">
        <w:rPr>
          <w:rFonts w:ascii="Noto Sans" w:hAnsi="Noto Sans" w:cs="Noto Sans"/>
        </w:rPr>
        <w:t>.</w:t>
      </w:r>
    </w:p>
    <w:p w14:paraId="56962F0C" w14:textId="77777777" w:rsidR="00BA1520" w:rsidRDefault="00BA1520">
      <w:pPr>
        <w:jc w:val="both"/>
        <w:rPr>
          <w:rFonts w:ascii="Noto Sans" w:hAnsi="Noto Sans" w:cs="Noto Sans"/>
        </w:rPr>
      </w:pPr>
    </w:p>
    <w:p w14:paraId="4833C4D5" w14:textId="3D7B7AA9" w:rsidR="00783423" w:rsidRDefault="0085349B">
      <w:pPr>
        <w:jc w:val="both"/>
        <w:rPr>
          <w:rFonts w:ascii="Noto Sans" w:hAnsi="Noto Sans" w:cs="Noto Sans"/>
        </w:rPr>
      </w:pPr>
      <w:r>
        <w:rPr>
          <w:rFonts w:ascii="Noto Sans" w:hAnsi="Noto Sans" w:cs="Noto Sans"/>
        </w:rPr>
        <w:t>De acuerdo con las postulaciones, s</w:t>
      </w:r>
      <w:r w:rsidR="00766DF0" w:rsidRPr="007E0EAC">
        <w:rPr>
          <w:rFonts w:ascii="Noto Sans" w:hAnsi="Noto Sans" w:cs="Noto Sans"/>
        </w:rPr>
        <w:t xml:space="preserve">e seleccionaron </w:t>
      </w:r>
      <w:r w:rsidR="280DC6DA" w:rsidRPr="007E0EAC">
        <w:rPr>
          <w:rFonts w:ascii="Noto Sans" w:hAnsi="Noto Sans" w:cs="Noto Sans"/>
        </w:rPr>
        <w:t xml:space="preserve">36 </w:t>
      </w:r>
      <w:r w:rsidR="00766DF0" w:rsidRPr="007E0EAC">
        <w:rPr>
          <w:rFonts w:ascii="Noto Sans" w:hAnsi="Noto Sans" w:cs="Noto Sans"/>
        </w:rPr>
        <w:t xml:space="preserve">proyectos </w:t>
      </w:r>
      <w:r w:rsidR="280DC6DA" w:rsidRPr="007E0EAC">
        <w:rPr>
          <w:rFonts w:ascii="Noto Sans" w:hAnsi="Noto Sans" w:cs="Noto Sans"/>
        </w:rPr>
        <w:t xml:space="preserve">de danza y 64 de teatro, provenientes de 28 entidades de la República Mexicana (Aguascalientes, Baja California, Campeche, Chiapas, Chihuahua, Ciudad de México, Colima, Durango, Estado de México, Guanajuato, Hidalgo, Jalisco, Michoacán, Morelos, Nayarit, Nuevo León, Oaxaca, Puebla, Querétaro, Quintana Roo, San Luis Potosí, Sinaloa, Sonora, Tamaulipas, Tlaxcala, Veracruz, Yucatán y Zacatecas). </w:t>
      </w:r>
    </w:p>
    <w:p w14:paraId="360C78F3" w14:textId="77777777" w:rsidR="00CF6A8A" w:rsidRDefault="00CF6A8A">
      <w:pPr>
        <w:jc w:val="both"/>
        <w:rPr>
          <w:rFonts w:ascii="Noto Sans" w:hAnsi="Noto Sans" w:cs="Noto Sans"/>
        </w:rPr>
      </w:pPr>
    </w:p>
    <w:p w14:paraId="62E224A8" w14:textId="77777777" w:rsidR="00BA1520" w:rsidRDefault="00BA1520" w:rsidP="00BA1520">
      <w:pPr>
        <w:jc w:val="both"/>
        <w:rPr>
          <w:rFonts w:ascii="Noto Sans" w:hAnsi="Noto Sans" w:cs="Noto Sans"/>
        </w:rPr>
      </w:pPr>
      <w:r>
        <w:rPr>
          <w:rFonts w:ascii="Noto Sans" w:hAnsi="Noto Sans" w:cs="Noto Sans"/>
        </w:rPr>
        <w:lastRenderedPageBreak/>
        <w:t>Con un fondo de 30 millones de pesos para fortalecer la vocación social de la Red Teatral del IMSS y fomentar la consolidación de compañías independientes, a</w:t>
      </w:r>
      <w:r w:rsidR="280DC6DA" w:rsidRPr="007E0EAC">
        <w:rPr>
          <w:rFonts w:ascii="Noto Sans" w:hAnsi="Noto Sans" w:cs="Noto Sans"/>
        </w:rPr>
        <w:t xml:space="preserve"> cada proyecto se le otorgarán $300,000.00 (trescientos mil pesos) para la presentación de seis funciones en dos espacios escénicos del IMSS distribuidos en siete regiones del país, para generar una mayor circulación de puestas en escena y diversificación de la cartelera. </w:t>
      </w:r>
    </w:p>
    <w:p w14:paraId="110A6E6E" w14:textId="77777777" w:rsidR="00BA1520" w:rsidRDefault="00BA1520" w:rsidP="00BA1520">
      <w:pPr>
        <w:jc w:val="both"/>
        <w:rPr>
          <w:rFonts w:ascii="Noto Sans" w:hAnsi="Noto Sans" w:cs="Noto Sans"/>
        </w:rPr>
      </w:pPr>
    </w:p>
    <w:p w14:paraId="3E9B4AED" w14:textId="18A51B06" w:rsidR="00783423" w:rsidRDefault="1AD27B3E" w:rsidP="00BA1520">
      <w:pPr>
        <w:jc w:val="both"/>
        <w:rPr>
          <w:rFonts w:ascii="Noto Sans" w:hAnsi="Noto Sans" w:cs="Noto Sans"/>
        </w:rPr>
      </w:pPr>
      <w:r w:rsidRPr="007E0EAC">
        <w:rPr>
          <w:rFonts w:ascii="Noto Sans" w:hAnsi="Noto Sans" w:cs="Noto Sans"/>
        </w:rPr>
        <w:t xml:space="preserve">Las funciones de </w:t>
      </w:r>
      <w:r w:rsidR="7FF3D24E" w:rsidRPr="007E0EAC">
        <w:rPr>
          <w:rFonts w:ascii="Noto Sans" w:hAnsi="Noto Sans" w:cs="Noto Sans"/>
        </w:rPr>
        <w:t>“</w:t>
      </w:r>
      <w:r w:rsidR="280DC6DA" w:rsidRPr="007E0EAC">
        <w:rPr>
          <w:rFonts w:ascii="Noto Sans" w:hAnsi="Noto Sans" w:cs="Noto Sans"/>
        </w:rPr>
        <w:t>Escenarios IMSS-</w:t>
      </w:r>
      <w:r w:rsidR="00BA1520">
        <w:rPr>
          <w:rFonts w:ascii="Noto Sans" w:hAnsi="Noto Sans" w:cs="Noto Sans"/>
        </w:rPr>
        <w:t>CULTURA</w:t>
      </w:r>
      <w:r w:rsidR="7191EC28" w:rsidRPr="007E0EAC">
        <w:rPr>
          <w:rFonts w:ascii="Noto Sans" w:hAnsi="Noto Sans" w:cs="Noto Sans"/>
        </w:rPr>
        <w:t>"</w:t>
      </w:r>
      <w:r w:rsidR="280DC6DA" w:rsidRPr="007E0EAC">
        <w:rPr>
          <w:rFonts w:ascii="Noto Sans" w:hAnsi="Noto Sans" w:cs="Noto Sans"/>
        </w:rPr>
        <w:t xml:space="preserve"> </w:t>
      </w:r>
      <w:r w:rsidR="29CD5E1D" w:rsidRPr="007E0EAC">
        <w:rPr>
          <w:rFonts w:ascii="Noto Sans" w:hAnsi="Noto Sans" w:cs="Noto Sans"/>
        </w:rPr>
        <w:t xml:space="preserve">están </w:t>
      </w:r>
      <w:r w:rsidR="280DC6DA" w:rsidRPr="007E0EAC">
        <w:rPr>
          <w:rFonts w:ascii="Noto Sans" w:hAnsi="Noto Sans" w:cs="Noto Sans"/>
        </w:rPr>
        <w:t xml:space="preserve">dirigidas a toda la familia </w:t>
      </w:r>
      <w:r w:rsidR="68B3B52E" w:rsidRPr="007E0EAC">
        <w:rPr>
          <w:rFonts w:ascii="Noto Sans" w:hAnsi="Noto Sans" w:cs="Noto Sans"/>
        </w:rPr>
        <w:t xml:space="preserve">y se presentarán </w:t>
      </w:r>
      <w:r w:rsidR="280DC6DA" w:rsidRPr="007E0EAC">
        <w:rPr>
          <w:rFonts w:ascii="Noto Sans" w:hAnsi="Noto Sans" w:cs="Noto Sans"/>
        </w:rPr>
        <w:t xml:space="preserve">en 25 teatros del IMSS ubicados en </w:t>
      </w:r>
      <w:r w:rsidR="5F4B7596" w:rsidRPr="007E0EAC">
        <w:rPr>
          <w:rFonts w:ascii="Noto Sans" w:hAnsi="Noto Sans" w:cs="Noto Sans"/>
        </w:rPr>
        <w:t xml:space="preserve">Aguascalientes, </w:t>
      </w:r>
      <w:r w:rsidR="2E2C3CEF" w:rsidRPr="007E0EAC">
        <w:rPr>
          <w:rFonts w:ascii="Noto Sans" w:hAnsi="Noto Sans" w:cs="Noto Sans"/>
        </w:rPr>
        <w:t xml:space="preserve">Baja California, </w:t>
      </w:r>
      <w:r w:rsidR="62E6CE6A" w:rsidRPr="007E0EAC">
        <w:rPr>
          <w:rFonts w:ascii="Noto Sans" w:hAnsi="Noto Sans" w:cs="Noto Sans"/>
        </w:rPr>
        <w:t xml:space="preserve">Campeche, </w:t>
      </w:r>
      <w:r w:rsidR="280DC6DA" w:rsidRPr="007E0EAC">
        <w:rPr>
          <w:rFonts w:ascii="Noto Sans" w:hAnsi="Noto Sans" w:cs="Noto Sans"/>
        </w:rPr>
        <w:t xml:space="preserve">Ciudad de México, </w:t>
      </w:r>
      <w:r w:rsidR="4FBF74F6" w:rsidRPr="007E0EAC">
        <w:rPr>
          <w:rFonts w:ascii="Noto Sans" w:hAnsi="Noto Sans" w:cs="Noto Sans"/>
        </w:rPr>
        <w:t xml:space="preserve">Durango, </w:t>
      </w:r>
      <w:r w:rsidR="280DC6DA" w:rsidRPr="007E0EAC">
        <w:rPr>
          <w:rFonts w:ascii="Noto Sans" w:hAnsi="Noto Sans" w:cs="Noto Sans"/>
        </w:rPr>
        <w:t>Estado de México,</w:t>
      </w:r>
      <w:r w:rsidR="280DC6DA" w:rsidRPr="280DC6DA">
        <w:rPr>
          <w:rFonts w:ascii="Noto Sans" w:hAnsi="Noto Sans" w:cs="Noto Sans"/>
        </w:rPr>
        <w:t xml:space="preserve"> </w:t>
      </w:r>
      <w:r w:rsidR="073349FE" w:rsidRPr="280DC6DA">
        <w:rPr>
          <w:rFonts w:ascii="Noto Sans" w:hAnsi="Noto Sans" w:cs="Noto Sans"/>
        </w:rPr>
        <w:t>Guanajuato,</w:t>
      </w:r>
      <w:r w:rsidR="280DC6DA" w:rsidRPr="280DC6DA">
        <w:rPr>
          <w:rFonts w:ascii="Noto Sans" w:hAnsi="Noto Sans" w:cs="Noto Sans"/>
        </w:rPr>
        <w:t xml:space="preserve"> </w:t>
      </w:r>
      <w:r w:rsidR="0EF3D994" w:rsidRPr="280DC6DA">
        <w:rPr>
          <w:rFonts w:ascii="Noto Sans" w:hAnsi="Noto Sans" w:cs="Noto Sans"/>
        </w:rPr>
        <w:t xml:space="preserve">Jalisco, Michoacán, </w:t>
      </w:r>
      <w:r w:rsidR="280DC6DA" w:rsidRPr="280DC6DA">
        <w:rPr>
          <w:rFonts w:ascii="Noto Sans" w:hAnsi="Noto Sans" w:cs="Noto Sans"/>
        </w:rPr>
        <w:t xml:space="preserve">Querétaro, San Luis Potosí, Sinaloa, </w:t>
      </w:r>
      <w:r w:rsidR="4E84DF18" w:rsidRPr="280DC6DA">
        <w:rPr>
          <w:rFonts w:ascii="Noto Sans" w:hAnsi="Noto Sans" w:cs="Noto Sans"/>
        </w:rPr>
        <w:t xml:space="preserve">Tlaxcala y </w:t>
      </w:r>
      <w:r w:rsidR="280DC6DA" w:rsidRPr="280DC6DA">
        <w:rPr>
          <w:rFonts w:ascii="Noto Sans" w:hAnsi="Noto Sans" w:cs="Noto Sans"/>
        </w:rPr>
        <w:t xml:space="preserve">Zacatecas. </w:t>
      </w:r>
    </w:p>
    <w:p w14:paraId="798C878A" w14:textId="77777777" w:rsidR="00CF6A8A" w:rsidRDefault="00CF6A8A" w:rsidP="280DC6DA">
      <w:pPr>
        <w:spacing w:line="259" w:lineRule="auto"/>
        <w:jc w:val="both"/>
        <w:rPr>
          <w:rFonts w:ascii="Noto Sans" w:hAnsi="Noto Sans" w:cs="Noto Sans"/>
        </w:rPr>
      </w:pPr>
    </w:p>
    <w:p w14:paraId="3FD49D7C" w14:textId="13772D0E" w:rsidR="00783423" w:rsidRDefault="00CF6A8A" w:rsidP="280DC6DA">
      <w:pPr>
        <w:spacing w:line="259" w:lineRule="auto"/>
        <w:jc w:val="both"/>
        <w:rPr>
          <w:rFonts w:ascii="Noto Sans" w:hAnsi="Noto Sans" w:cs="Noto Sans"/>
        </w:rPr>
      </w:pPr>
      <w:r w:rsidRPr="000F5EF3">
        <w:rPr>
          <w:rFonts w:ascii="Noto Sans" w:hAnsi="Noto Sans" w:cs="Noto Sans"/>
        </w:rPr>
        <w:t xml:space="preserve">La función de estreno tendrá lugar </w:t>
      </w:r>
      <w:r w:rsidR="0018782D">
        <w:rPr>
          <w:rFonts w:ascii="Noto Sans" w:hAnsi="Noto Sans" w:cs="Noto Sans"/>
        </w:rPr>
        <w:t>en</w:t>
      </w:r>
      <w:r w:rsidRPr="000F5EF3">
        <w:rPr>
          <w:rFonts w:ascii="Noto Sans" w:hAnsi="Noto Sans" w:cs="Noto Sans"/>
        </w:rPr>
        <w:t xml:space="preserve"> agosto en la Ciudad de </w:t>
      </w:r>
      <w:r w:rsidR="0085349B" w:rsidRPr="000F5EF3">
        <w:rPr>
          <w:rFonts w:ascii="Noto Sans" w:hAnsi="Noto Sans" w:cs="Noto Sans"/>
        </w:rPr>
        <w:t>México,</w:t>
      </w:r>
      <w:r w:rsidR="0085349B">
        <w:rPr>
          <w:rFonts w:ascii="Noto Sans" w:hAnsi="Noto Sans" w:cs="Noto Sans"/>
          <w:b/>
          <w:bCs/>
        </w:rPr>
        <w:t xml:space="preserve"> </w:t>
      </w:r>
      <w:r w:rsidR="0085349B" w:rsidRPr="280DC6DA">
        <w:rPr>
          <w:rFonts w:ascii="Noto Sans" w:hAnsi="Noto Sans" w:cs="Noto Sans"/>
        </w:rPr>
        <w:t>mientras</w:t>
      </w:r>
      <w:r w:rsidR="280DC6DA" w:rsidRPr="280DC6DA">
        <w:rPr>
          <w:rFonts w:ascii="Noto Sans" w:hAnsi="Noto Sans" w:cs="Noto Sans"/>
        </w:rPr>
        <w:t xml:space="preserve"> que el resto de la programación tendrá lugar entre septiembre de 2025 y febrero de 2026.</w:t>
      </w:r>
    </w:p>
    <w:p w14:paraId="5AC9B0FD" w14:textId="77777777" w:rsidR="00CF6A8A" w:rsidRDefault="00CF6A8A" w:rsidP="280DC6DA">
      <w:pPr>
        <w:spacing w:line="259" w:lineRule="auto"/>
        <w:jc w:val="both"/>
        <w:rPr>
          <w:rFonts w:ascii="Noto Sans" w:hAnsi="Noto Sans" w:cs="Noto Sans"/>
        </w:rPr>
      </w:pPr>
    </w:p>
    <w:p w14:paraId="199AF1BB" w14:textId="2EA33F3C" w:rsidR="00783423" w:rsidRDefault="280DC6DA">
      <w:pPr>
        <w:jc w:val="both"/>
        <w:rPr>
          <w:rFonts w:ascii="Noto Sans" w:hAnsi="Noto Sans" w:cs="Noto Sans"/>
        </w:rPr>
      </w:pPr>
      <w:r w:rsidRPr="280DC6DA">
        <w:rPr>
          <w:rFonts w:ascii="Noto Sans" w:hAnsi="Noto Sans" w:cs="Noto Sans"/>
        </w:rPr>
        <w:t xml:space="preserve">El listado completo de los proyectos seleccionados se puede consultar en: </w:t>
      </w:r>
      <w:hyperlink r:id="rId7">
        <w:r w:rsidRPr="280DC6DA">
          <w:rPr>
            <w:rStyle w:val="Hipervnculo"/>
            <w:rFonts w:ascii="Noto Sans" w:hAnsi="Noto Sans" w:cs="Noto Sans"/>
          </w:rPr>
          <w:t>escenariosimsscultura.inba.gob.mx</w:t>
        </w:r>
      </w:hyperlink>
      <w:r w:rsidRPr="280DC6DA">
        <w:rPr>
          <w:rFonts w:ascii="Noto Sans" w:hAnsi="Noto Sans" w:cs="Noto Sans"/>
        </w:rPr>
        <w:t xml:space="preserve"> y las carteleras de las funciones estarán </w:t>
      </w:r>
      <w:r w:rsidRPr="007E0EAC">
        <w:rPr>
          <w:rFonts w:ascii="Noto Sans" w:hAnsi="Noto Sans" w:cs="Noto Sans"/>
        </w:rPr>
        <w:t xml:space="preserve">disponibles en la página web del </w:t>
      </w:r>
      <w:hyperlink r:id="rId8">
        <w:r w:rsidRPr="007E0EAC">
          <w:rPr>
            <w:rStyle w:val="Hipervnculo"/>
            <w:rFonts w:ascii="Noto Sans" w:hAnsi="Noto Sans" w:cs="Noto Sans"/>
          </w:rPr>
          <w:t>IMSS</w:t>
        </w:r>
      </w:hyperlink>
      <w:r w:rsidR="00BA1520">
        <w:t xml:space="preserve"> y del </w:t>
      </w:r>
      <w:hyperlink r:id="rId9">
        <w:r w:rsidR="00BA1520" w:rsidRPr="007E0EAC">
          <w:rPr>
            <w:rStyle w:val="Hipervnculo"/>
            <w:rFonts w:ascii="Noto Sans" w:hAnsi="Noto Sans" w:cs="Noto Sans"/>
          </w:rPr>
          <w:t>INBAL</w:t>
        </w:r>
      </w:hyperlink>
      <w:r w:rsidRPr="007E0EAC">
        <w:rPr>
          <w:rFonts w:ascii="Noto Sans" w:hAnsi="Noto Sans" w:cs="Noto Sans"/>
        </w:rPr>
        <w:t>, así como en la página del Fideicomiso de Administración de Teatros y Salas de Espectáculos del IMSS (</w:t>
      </w:r>
      <w:hyperlink r:id="rId10">
        <w:r w:rsidRPr="007E0EAC">
          <w:rPr>
            <w:rStyle w:val="Hipervnculo"/>
            <w:rFonts w:ascii="Noto Sans" w:hAnsi="Noto Sans" w:cs="Noto Sans"/>
          </w:rPr>
          <w:t>FIDTEATROS</w:t>
        </w:r>
      </w:hyperlink>
      <w:r w:rsidRPr="007E0EAC">
        <w:rPr>
          <w:rFonts w:ascii="Noto Sans" w:hAnsi="Noto Sans" w:cs="Noto Sans"/>
        </w:rPr>
        <w:t>).</w:t>
      </w:r>
    </w:p>
    <w:p w14:paraId="08C89108" w14:textId="77777777" w:rsidR="00CF6A8A" w:rsidRPr="007E0EAC" w:rsidRDefault="00CF6A8A">
      <w:pPr>
        <w:jc w:val="both"/>
        <w:rPr>
          <w:rFonts w:ascii="Noto Sans" w:hAnsi="Noto Sans" w:cs="Noto Sans"/>
        </w:rPr>
      </w:pPr>
    </w:p>
    <w:p w14:paraId="388A0456" w14:textId="1BE021E8" w:rsidR="00783423" w:rsidRDefault="280DC6DA">
      <w:pPr>
        <w:jc w:val="both"/>
        <w:rPr>
          <w:rFonts w:ascii="Noto Sans" w:hAnsi="Noto Sans" w:cs="Noto Sans"/>
        </w:rPr>
      </w:pPr>
      <w:r w:rsidRPr="007E0EAC">
        <w:rPr>
          <w:rFonts w:ascii="Noto Sans" w:hAnsi="Noto Sans" w:cs="Noto Sans"/>
        </w:rPr>
        <w:t xml:space="preserve">La </w:t>
      </w:r>
      <w:r w:rsidR="00776ED3">
        <w:rPr>
          <w:rFonts w:ascii="Noto Sans" w:hAnsi="Noto Sans" w:cs="Noto Sans"/>
        </w:rPr>
        <w:t>C</w:t>
      </w:r>
      <w:r w:rsidRPr="007E0EAC">
        <w:rPr>
          <w:rFonts w:ascii="Noto Sans" w:hAnsi="Noto Sans" w:cs="Noto Sans"/>
        </w:rPr>
        <w:t xml:space="preserve">onvocatoria </w:t>
      </w:r>
      <w:r w:rsidR="00776ED3">
        <w:rPr>
          <w:rFonts w:ascii="Noto Sans" w:hAnsi="Noto Sans" w:cs="Noto Sans"/>
        </w:rPr>
        <w:t>N</w:t>
      </w:r>
      <w:r w:rsidR="009C4701" w:rsidRPr="007E0EAC">
        <w:rPr>
          <w:rFonts w:ascii="Noto Sans" w:hAnsi="Noto Sans" w:cs="Noto Sans"/>
        </w:rPr>
        <w:t>acional “</w:t>
      </w:r>
      <w:r w:rsidRPr="007E0EAC">
        <w:rPr>
          <w:rFonts w:ascii="Noto Sans" w:hAnsi="Noto Sans" w:cs="Noto Sans"/>
        </w:rPr>
        <w:t>Escenarios IMSS-</w:t>
      </w:r>
      <w:r w:rsidR="00BA1520">
        <w:rPr>
          <w:rFonts w:ascii="Noto Sans" w:hAnsi="Noto Sans" w:cs="Noto Sans"/>
        </w:rPr>
        <w:t>CULTURA</w:t>
      </w:r>
      <w:r w:rsidR="009C4701" w:rsidRPr="007E0EAC">
        <w:rPr>
          <w:rFonts w:ascii="Noto Sans" w:hAnsi="Noto Sans" w:cs="Noto Sans"/>
        </w:rPr>
        <w:t>”</w:t>
      </w:r>
      <w:r w:rsidRPr="007E0EAC">
        <w:rPr>
          <w:rFonts w:ascii="Noto Sans" w:hAnsi="Noto Sans" w:cs="Noto Sans"/>
        </w:rPr>
        <w:t xml:space="preserve"> fue posible gracias a la firma del convenio marco entre </w:t>
      </w:r>
      <w:r w:rsidR="00BA1520" w:rsidRPr="007E0EAC">
        <w:rPr>
          <w:rFonts w:ascii="Noto Sans" w:hAnsi="Noto Sans" w:cs="Noto Sans"/>
        </w:rPr>
        <w:t>el I</w:t>
      </w:r>
      <w:r w:rsidR="00BA1520">
        <w:rPr>
          <w:rFonts w:ascii="Noto Sans" w:hAnsi="Noto Sans" w:cs="Noto Sans"/>
        </w:rPr>
        <w:t>nstituto Mexicano del Seguro Social</w:t>
      </w:r>
      <w:r w:rsidR="00BA1520" w:rsidRPr="007E0EAC">
        <w:rPr>
          <w:rFonts w:ascii="Noto Sans" w:hAnsi="Noto Sans" w:cs="Noto Sans"/>
        </w:rPr>
        <w:t xml:space="preserve"> </w:t>
      </w:r>
      <w:r w:rsidR="00BA1520">
        <w:rPr>
          <w:rFonts w:ascii="Noto Sans" w:hAnsi="Noto Sans" w:cs="Noto Sans"/>
        </w:rPr>
        <w:t xml:space="preserve">y </w:t>
      </w:r>
      <w:r w:rsidRPr="007E0EAC">
        <w:rPr>
          <w:rFonts w:ascii="Noto Sans" w:hAnsi="Noto Sans" w:cs="Noto Sans"/>
        </w:rPr>
        <w:t>la Secretaría de Cultura del Gobierno de México</w:t>
      </w:r>
      <w:r w:rsidR="00BA1520">
        <w:rPr>
          <w:rFonts w:ascii="Noto Sans" w:hAnsi="Noto Sans" w:cs="Noto Sans"/>
        </w:rPr>
        <w:t>,</w:t>
      </w:r>
      <w:r w:rsidRPr="007E0EAC">
        <w:rPr>
          <w:rFonts w:ascii="Noto Sans" w:hAnsi="Noto Sans" w:cs="Noto Sans"/>
        </w:rPr>
        <w:t xml:space="preserve"> celebrada el 27 de marzo del 2025.</w:t>
      </w:r>
    </w:p>
    <w:p w14:paraId="01121055" w14:textId="77777777" w:rsidR="00156F70" w:rsidRDefault="00156F70">
      <w:pPr>
        <w:jc w:val="both"/>
        <w:rPr>
          <w:rFonts w:ascii="Noto Sans" w:hAnsi="Noto Sans" w:cs="Noto Sans"/>
        </w:rPr>
      </w:pPr>
    </w:p>
    <w:p w14:paraId="0AA6E5A3" w14:textId="1C17AF08" w:rsidR="00156F70" w:rsidRDefault="00156F70" w:rsidP="00156F70">
      <w:pPr>
        <w:jc w:val="center"/>
        <w:rPr>
          <w:rFonts w:ascii="Noto Sans" w:hAnsi="Noto Sans" w:cs="Noto Sans"/>
        </w:rPr>
      </w:pPr>
      <w:r>
        <w:rPr>
          <w:rFonts w:ascii="Noto Sans" w:hAnsi="Noto Sans" w:cs="Noto Sans"/>
        </w:rPr>
        <w:t>---o0o---</w:t>
      </w:r>
    </w:p>
    <w:sectPr w:rsidR="00156F70">
      <w:headerReference w:type="default" r:id="rId11"/>
      <w:headerReference w:type="first" r:id="rId12"/>
      <w:footerReference w:type="first" r:id="rId13"/>
      <w:pgSz w:w="12240" w:h="15840"/>
      <w:pgMar w:top="2467" w:right="1701" w:bottom="1417" w:left="1701" w:header="708" w:footer="708"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2F0591A" w14:textId="77777777" w:rsidR="00C91505" w:rsidRDefault="00C91505">
      <w:r>
        <w:separator/>
      </w:r>
    </w:p>
  </w:endnote>
  <w:endnote w:type="continuationSeparator" w:id="0">
    <w:p w14:paraId="6425C3DD" w14:textId="77777777" w:rsidR="00C91505" w:rsidRDefault="00C915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Liberation Sans">
    <w:altName w:val="Arial"/>
    <w:charset w:val="01"/>
    <w:family w:val="swiss"/>
    <w:pitch w:val="variable"/>
  </w:font>
  <w:font w:name="PingFang SC">
    <w:panose1 w:val="00000000000000000000"/>
    <w:charset w:val="86"/>
    <w:family w:val="swiss"/>
    <w:notTrueType/>
    <w:pitch w:val="variable"/>
    <w:sig w:usb0="A00002FF" w:usb1="7ACFFDFB" w:usb2="00000017" w:usb3="00000000" w:csb0="00040001" w:csb1="00000000"/>
  </w:font>
  <w:font w:name="Arial Unicode MS">
    <w:panose1 w:val="020B0604020202020204"/>
    <w:charset w:val="80"/>
    <w:family w:val="swiss"/>
    <w:pitch w:val="variable"/>
    <w:sig w:usb0="F7FFAFFF" w:usb1="E9DFFFFF" w:usb2="0000003F" w:usb3="00000000" w:csb0="003F01FF" w:csb1="00000000"/>
  </w:font>
  <w:font w:name="Montserrat">
    <w:charset w:val="00"/>
    <w:family w:val="auto"/>
    <w:pitch w:val="variable"/>
    <w:sig w:usb0="2000020F" w:usb1="00000003" w:usb2="00000000" w:usb3="00000000" w:csb0="00000197" w:csb1="00000000"/>
  </w:font>
  <w:font w:name="Noto Sans">
    <w:altName w:val="Nirmala UI"/>
    <w:charset w:val="00"/>
    <w:family w:val="swiss"/>
    <w:pitch w:val="variable"/>
    <w:sig w:usb0="E00082FF" w:usb1="400078FF" w:usb2="08000029" w:usb3="00000000" w:csb0="0000019F" w:csb1="00000000"/>
  </w:font>
  <w:font w:name="Noto Sans Medium">
    <w:altName w:val="Calibri"/>
    <w:charset w:val="00"/>
    <w:family w:val="swiss"/>
    <w:pitch w:val="variable"/>
    <w:sig w:usb0="E00002FF" w:usb1="4000201F" w:usb2="08000029"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4C38B1" w14:textId="3E0F873A" w:rsidR="00783423" w:rsidRDefault="00CF6A8A">
    <w:pPr>
      <w:pStyle w:val="Piedepgina"/>
    </w:pPr>
    <w:r>
      <w:rPr>
        <w:noProof/>
      </w:rPr>
      <mc:AlternateContent>
        <mc:Choice Requires="wps">
          <w:drawing>
            <wp:anchor distT="0" distB="6350" distL="0" distR="0" simplePos="0" relativeHeight="251658752" behindDoc="1" locked="0" layoutInCell="1" allowOverlap="1" wp14:anchorId="6D0AC93C" wp14:editId="3C164987">
              <wp:simplePos x="0" y="0"/>
              <wp:positionH relativeFrom="column">
                <wp:posOffset>1256665</wp:posOffset>
              </wp:positionH>
              <wp:positionV relativeFrom="paragraph">
                <wp:posOffset>-310515</wp:posOffset>
              </wp:positionV>
              <wp:extent cx="5168900" cy="431800"/>
              <wp:effectExtent l="0" t="0" r="0" b="0"/>
              <wp:wrapNone/>
              <wp:docPr id="1016503473" name="Rectángulo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168900" cy="431800"/>
                      </a:xfrm>
                      <a:prstGeom prst="rect">
                        <a:avLst/>
                      </a:prstGeom>
                      <a:noFill/>
                      <a:ln w="6350">
                        <a:noFill/>
                      </a:ln>
                    </wps:spPr>
                    <wps:style>
                      <a:lnRef idx="0">
                        <a:scrgbClr r="0" g="0" b="0"/>
                      </a:lnRef>
                      <a:fillRef idx="0">
                        <a:scrgbClr r="0" g="0" b="0"/>
                      </a:fillRef>
                      <a:effectRef idx="0">
                        <a:scrgbClr r="0" g="0" b="0"/>
                      </a:effectRef>
                      <a:fontRef idx="minor"/>
                    </wps:style>
                    <wps:txbx>
                      <w:txbxContent>
                        <w:p w14:paraId="5FC44198" w14:textId="77777777" w:rsidR="00783423" w:rsidRDefault="00CF6A8A">
                          <w:pPr>
                            <w:pStyle w:val="FrameContents"/>
                            <w:contextualSpacing/>
                            <w:jc w:val="both"/>
                            <w:rPr>
                              <w:rFonts w:ascii="Noto Sans Medium" w:eastAsia="Times New Roman" w:hAnsi="Noto Sans Medium" w:cs="Noto Sans Medium"/>
                              <w:color w:val="000000" w:themeColor="text1"/>
                              <w:sz w:val="14"/>
                              <w:szCs w:val="14"/>
                            </w:rPr>
                          </w:pPr>
                          <w:r>
                            <w:rPr>
                              <w:rFonts w:ascii="Noto Sans Medium" w:eastAsia="Times New Roman" w:hAnsi="Noto Sans Medium" w:cs="Noto Sans Medium"/>
                              <w:color w:val="000000" w:themeColor="text1"/>
                              <w:sz w:val="14"/>
                              <w:szCs w:val="14"/>
                            </w:rPr>
                            <w:t>Paseo de la Reforma y Campo Marte, col. Polanco, C.P. 11560, alcaldía Miguel Hidalgo, CDMX</w:t>
                          </w:r>
                        </w:p>
                        <w:p w14:paraId="2F769AEF" w14:textId="77777777" w:rsidR="00783423" w:rsidRDefault="00CF6A8A">
                          <w:pPr>
                            <w:pStyle w:val="FrameContents"/>
                            <w:jc w:val="both"/>
                            <w:rPr>
                              <w:color w:val="000000" w:themeColor="text1"/>
                              <w:sz w:val="14"/>
                              <w:szCs w:val="14"/>
                              <w:lang w:val="es-ES"/>
                            </w:rPr>
                          </w:pPr>
                          <w:r>
                            <w:rPr>
                              <w:rFonts w:ascii="Noto Sans Medium" w:eastAsia="Times New Roman" w:hAnsi="Noto Sans Medium" w:cs="Noto Sans Medium"/>
                              <w:color w:val="000000" w:themeColor="text1"/>
                              <w:sz w:val="14"/>
                              <w:szCs w:val="14"/>
                            </w:rPr>
                            <w:t>Tel: 55 1000 5600</w:t>
                          </w:r>
                          <w:r>
                            <w:rPr>
                              <w:rFonts w:ascii="Noto Sans Medium" w:eastAsia="Times New Roman" w:hAnsi="Noto Sans Medium" w:cs="Noto Sans Medium"/>
                              <w:color w:val="000000" w:themeColor="text1"/>
                              <w:kern w:val="0"/>
                              <w:sz w:val="14"/>
                              <w:szCs w:val="14"/>
                              <w:lang w:eastAsia="es-MX"/>
                              <w14:ligatures w14:val="none"/>
                            </w:rPr>
                            <w:tab/>
                            <w:t xml:space="preserve"> </w:t>
                          </w:r>
                          <w:r>
                            <w:rPr>
                              <w:rFonts w:ascii="Noto Sans Medium" w:eastAsia="Times New Roman" w:hAnsi="Noto Sans Medium" w:cs="Noto Sans Medium"/>
                              <w:color w:val="000000" w:themeColor="text1"/>
                              <w:sz w:val="14"/>
                              <w:szCs w:val="14"/>
                            </w:rPr>
                            <w:t>www.inba.gob.mx</w:t>
                          </w:r>
                        </w:p>
                        <w:p w14:paraId="44EAFD9C" w14:textId="77777777" w:rsidR="00783423" w:rsidRDefault="00783423">
                          <w:pPr>
                            <w:pStyle w:val="FrameContents"/>
                            <w:jc w:val="both"/>
                            <w:rPr>
                              <w:rFonts w:cs="Noto Sans Medium"/>
                              <w:color w:val="000000" w:themeColor="text1"/>
                              <w:sz w:val="22"/>
                              <w:szCs w:val="22"/>
                            </w:rPr>
                          </w:pPr>
                        </w:p>
                      </w:txbxContent>
                    </wps:txbx>
                    <wps:bodyPr anchor="t">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6D0AC93C" id="Rectángulo 1" o:spid="_x0000_s1026" style="position:absolute;margin-left:98.95pt;margin-top:-24.45pt;width:407pt;height:34pt;z-index:-251657728;visibility:visible;mso-wrap-style:square;mso-width-percent:0;mso-height-percent:0;mso-wrap-distance-left:0;mso-wrap-distance-top:0;mso-wrap-distance-right:0;mso-wrap-distance-bottom:.5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" filled="f" stroked="f" strokeweight=".5pt">
              <v:textbox>
                <w:txbxContent>
                  <w:p w14:paraId="5FC44198" w14:textId="77777777" w:rsidR="00783423" w:rsidRDefault="00CF6A8A">
                    <w:pPr>
                      <w:pStyle w:val="FrameContents"/>
                      <w:contextualSpacing/>
                      <w:jc w:val="both"/>
                      <w:rPr>
                        <w:rFonts w:ascii="Noto Sans Medium" w:eastAsia="Times New Roman" w:hAnsi="Noto Sans Medium" w:cs="Noto Sans Medium"/>
                        <w:color w:val="000000" w:themeColor="text1"/>
                        <w:sz w:val="14"/>
                        <w:szCs w:val="14"/>
                      </w:rPr>
                    </w:pPr>
                    <w:r>
                      <w:rPr>
                        <w:rFonts w:ascii="Noto Sans Medium" w:eastAsia="Times New Roman" w:hAnsi="Noto Sans Medium" w:cs="Noto Sans Medium"/>
                        <w:color w:val="000000" w:themeColor="text1"/>
                        <w:sz w:val="14"/>
                        <w:szCs w:val="14"/>
                      </w:rPr>
                      <w:t>Paseo de la Reforma y Campo Marte, col. Polanco, C.P. 11560, alcaldía Miguel Hidalgo, CDMX</w:t>
                    </w:r>
                  </w:p>
                  <w:p w14:paraId="2F769AEF" w14:textId="77777777" w:rsidR="00783423" w:rsidRDefault="00CF6A8A">
                    <w:pPr>
                      <w:pStyle w:val="FrameContents"/>
                      <w:jc w:val="both"/>
                      <w:rPr>
                        <w:color w:val="000000" w:themeColor="text1"/>
                        <w:sz w:val="14"/>
                        <w:szCs w:val="14"/>
                        <w:lang w:val="es-ES"/>
                      </w:rPr>
                    </w:pPr>
                    <w:r>
                      <w:rPr>
                        <w:rFonts w:ascii="Noto Sans Medium" w:eastAsia="Times New Roman" w:hAnsi="Noto Sans Medium" w:cs="Noto Sans Medium"/>
                        <w:color w:val="000000" w:themeColor="text1"/>
                        <w:sz w:val="14"/>
                        <w:szCs w:val="14"/>
                      </w:rPr>
                      <w:t>Tel: 55 1000 5600</w:t>
                    </w:r>
                    <w:r>
                      <w:rPr>
                        <w:rFonts w:ascii="Noto Sans Medium" w:eastAsia="Times New Roman" w:hAnsi="Noto Sans Medium" w:cs="Noto Sans Medium"/>
                        <w:color w:val="000000" w:themeColor="text1"/>
                        <w:kern w:val="0"/>
                        <w:sz w:val="14"/>
                        <w:szCs w:val="14"/>
                        <w:lang w:eastAsia="es-MX"/>
                        <w14:ligatures w14:val="none"/>
                      </w:rPr>
                      <w:tab/>
                      <w:t xml:space="preserve"> </w:t>
                    </w:r>
                    <w:r>
                      <w:rPr>
                        <w:rFonts w:ascii="Noto Sans Medium" w:eastAsia="Times New Roman" w:hAnsi="Noto Sans Medium" w:cs="Noto Sans Medium"/>
                        <w:color w:val="000000" w:themeColor="text1"/>
                        <w:sz w:val="14"/>
                        <w:szCs w:val="14"/>
                      </w:rPr>
                      <w:t>www.inba.gob.mx</w:t>
                    </w:r>
                  </w:p>
                  <w:p w14:paraId="44EAFD9C" w14:textId="77777777" w:rsidR="00783423" w:rsidRDefault="00783423">
                    <w:pPr>
                      <w:pStyle w:val="FrameContents"/>
                      <w:jc w:val="both"/>
                      <w:rPr>
                        <w:rFonts w:cs="Noto Sans Medium"/>
                        <w:color w:val="000000" w:themeColor="text1"/>
                        <w:sz w:val="22"/>
                        <w:szCs w:val="22"/>
                      </w:rPr>
                    </w:pP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F446568" w14:textId="77777777" w:rsidR="00C91505" w:rsidRDefault="00C91505">
      <w:r>
        <w:separator/>
      </w:r>
    </w:p>
  </w:footnote>
  <w:footnote w:type="continuationSeparator" w:id="0">
    <w:p w14:paraId="11939851" w14:textId="77777777" w:rsidR="00C91505" w:rsidRDefault="00C915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94BA41" w14:textId="49FC9E2E" w:rsidR="00783423" w:rsidRDefault="00DE236C" w:rsidP="280DC6DA">
    <w:r>
      <w:rPr>
        <w:noProof/>
      </w:rPr>
      <w:drawing>
        <wp:anchor distT="0" distB="0" distL="114300" distR="114300" simplePos="0" relativeHeight="251655679" behindDoc="1" locked="0" layoutInCell="1" allowOverlap="1" wp14:anchorId="7B4D243F" wp14:editId="1CDF557F">
          <wp:simplePos x="0" y="0"/>
          <wp:positionH relativeFrom="page">
            <wp:align>right</wp:align>
          </wp:positionH>
          <wp:positionV relativeFrom="paragraph">
            <wp:posOffset>-452120</wp:posOffset>
          </wp:positionV>
          <wp:extent cx="7762533" cy="10045269"/>
          <wp:effectExtent l="0" t="0" r="0" b="0"/>
          <wp:wrapNone/>
          <wp:docPr id="196193003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1930034" name="Imagen 1961930034"/>
                  <pic:cNvPicPr/>
                </pic:nvPicPr>
                <pic:blipFill>
                  <a:blip r:embed="rId1">
                    <a:extLst>
                      <a:ext uri="{28A0092B-C50C-407E-A947-70E740481C1C}">
                        <a14:useLocalDpi xmlns:a14="http://schemas.microsoft.com/office/drawing/2010/main" val="0"/>
                      </a:ext>
                    </a:extLst>
                  </a:blip>
                  <a:stretch>
                    <a:fillRect/>
                  </a:stretch>
                </pic:blipFill>
                <pic:spPr>
                  <a:xfrm>
                    <a:off x="0" y="0"/>
                    <a:ext cx="7762533" cy="10045269"/>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398CF49" w14:textId="77777777" w:rsidR="00783423" w:rsidRDefault="00CF6A8A">
    <w:pPr>
      <w:pStyle w:val="Encabezado"/>
    </w:pPr>
    <w:r>
      <w:rPr>
        <w:noProof/>
      </w:rPr>
      <w:drawing>
        <wp:anchor distT="0" distB="0" distL="0" distR="0" simplePos="0" relativeHeight="251656704" behindDoc="1" locked="0" layoutInCell="1" allowOverlap="1" wp14:anchorId="26A14D93" wp14:editId="07777777">
          <wp:simplePos x="0" y="0"/>
          <wp:positionH relativeFrom="column">
            <wp:posOffset>-1067435</wp:posOffset>
          </wp:positionH>
          <wp:positionV relativeFrom="paragraph">
            <wp:posOffset>-198755</wp:posOffset>
          </wp:positionV>
          <wp:extent cx="7773035" cy="10058400"/>
          <wp:effectExtent l="0" t="0" r="0" b="0"/>
          <wp:wrapNone/>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1"/>
                  <pic:cNvPicPr>
                    <a:picLocks noChangeAspect="1" noChangeArrowheads="1"/>
                  </pic:cNvPicPr>
                </pic:nvPicPr>
                <pic:blipFill>
                  <a:blip r:embed="rId1"/>
                  <a:stretch>
                    <a:fillRect/>
                  </a:stretch>
                </pic:blipFill>
                <pic:spPr bwMode="auto">
                  <a:xfrm>
                    <a:off x="0" y="0"/>
                    <a:ext cx="7773035" cy="1005840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D61898"/>
    <w:multiLevelType w:val="multilevel"/>
    <w:tmpl w:val="8022F57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1FCD7378"/>
    <w:multiLevelType w:val="multilevel"/>
    <w:tmpl w:val="7E0C05E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1985231930">
    <w:abstractNumId w:val="1"/>
  </w:num>
  <w:num w:numId="2" w16cid:durableId="3629438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19728CA"/>
    <w:rsid w:val="00011C20"/>
    <w:rsid w:val="00061630"/>
    <w:rsid w:val="000F5EF3"/>
    <w:rsid w:val="00156F70"/>
    <w:rsid w:val="001662EF"/>
    <w:rsid w:val="00171D2C"/>
    <w:rsid w:val="0018782D"/>
    <w:rsid w:val="0027119E"/>
    <w:rsid w:val="002D0DD0"/>
    <w:rsid w:val="00323C97"/>
    <w:rsid w:val="00460A4A"/>
    <w:rsid w:val="00541597"/>
    <w:rsid w:val="00575F18"/>
    <w:rsid w:val="005B1EA6"/>
    <w:rsid w:val="006758AF"/>
    <w:rsid w:val="00692C3E"/>
    <w:rsid w:val="00766DF0"/>
    <w:rsid w:val="00776ED3"/>
    <w:rsid w:val="00783423"/>
    <w:rsid w:val="007E0EAC"/>
    <w:rsid w:val="007E2BD3"/>
    <w:rsid w:val="007E651F"/>
    <w:rsid w:val="0085349B"/>
    <w:rsid w:val="0088446B"/>
    <w:rsid w:val="008B47B2"/>
    <w:rsid w:val="00913E7A"/>
    <w:rsid w:val="00967092"/>
    <w:rsid w:val="009C4701"/>
    <w:rsid w:val="00B86608"/>
    <w:rsid w:val="00BA1520"/>
    <w:rsid w:val="00BB75CE"/>
    <w:rsid w:val="00C66CED"/>
    <w:rsid w:val="00C91505"/>
    <w:rsid w:val="00CF6A8A"/>
    <w:rsid w:val="00D51CCA"/>
    <w:rsid w:val="00D84C39"/>
    <w:rsid w:val="00DC4F94"/>
    <w:rsid w:val="00DE236C"/>
    <w:rsid w:val="00EB49E1"/>
    <w:rsid w:val="00F016D4"/>
    <w:rsid w:val="00FC621E"/>
    <w:rsid w:val="00FF4EE7"/>
    <w:rsid w:val="019728CA"/>
    <w:rsid w:val="048D9583"/>
    <w:rsid w:val="073349FE"/>
    <w:rsid w:val="094FF1BF"/>
    <w:rsid w:val="0D2080F0"/>
    <w:rsid w:val="0DD7419C"/>
    <w:rsid w:val="0EF3D994"/>
    <w:rsid w:val="12D88AFB"/>
    <w:rsid w:val="1919088C"/>
    <w:rsid w:val="1AD27B3E"/>
    <w:rsid w:val="1CB4ECC6"/>
    <w:rsid w:val="22807B35"/>
    <w:rsid w:val="280DC6DA"/>
    <w:rsid w:val="29CD5E1D"/>
    <w:rsid w:val="2E2C3CEF"/>
    <w:rsid w:val="49E65711"/>
    <w:rsid w:val="4E84DF18"/>
    <w:rsid w:val="4FBF74F6"/>
    <w:rsid w:val="5F4B7596"/>
    <w:rsid w:val="62E6CE6A"/>
    <w:rsid w:val="68B3B52E"/>
    <w:rsid w:val="7191EC28"/>
    <w:rsid w:val="79D199CB"/>
    <w:rsid w:val="7BCBF326"/>
    <w:rsid w:val="7E7AAE83"/>
    <w:rsid w:val="7FF3D24E"/>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E0408C"/>
  <w15:docId w15:val="{E66C1F3D-2599-4660-AD15-4C35031440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s-MX"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EncabezadoCar">
    <w:name w:val="Encabezado Car"/>
    <w:basedOn w:val="Fuentedeprrafopredeter"/>
    <w:link w:val="Encabezado"/>
    <w:uiPriority w:val="99"/>
    <w:qFormat/>
    <w:rsid w:val="00C77979"/>
  </w:style>
  <w:style w:type="character" w:customStyle="1" w:styleId="PiedepginaCar">
    <w:name w:val="Pie de página Car"/>
    <w:basedOn w:val="Fuentedeprrafopredeter"/>
    <w:link w:val="Piedepgina"/>
    <w:uiPriority w:val="99"/>
    <w:qFormat/>
    <w:rsid w:val="00C77979"/>
  </w:style>
  <w:style w:type="character" w:styleId="Hipervnculo">
    <w:name w:val="Hyperlink"/>
    <w:basedOn w:val="Fuentedeprrafopredeter"/>
    <w:uiPriority w:val="99"/>
    <w:unhideWhenUsed/>
    <w:rsid w:val="002C06CD"/>
    <w:rPr>
      <w:color w:val="0563C1" w:themeColor="hyperlink"/>
      <w:u w:val="single"/>
    </w:rPr>
  </w:style>
  <w:style w:type="character" w:styleId="Hipervnculovisitado">
    <w:name w:val="FollowedHyperlink"/>
    <w:basedOn w:val="Fuentedeprrafopredeter"/>
    <w:uiPriority w:val="99"/>
    <w:semiHidden/>
    <w:unhideWhenUsed/>
    <w:rsid w:val="002C06CD"/>
    <w:rPr>
      <w:color w:val="954F72" w:themeColor="followedHyperlink"/>
      <w:u w:val="single"/>
    </w:rPr>
  </w:style>
  <w:style w:type="character" w:customStyle="1" w:styleId="eop">
    <w:name w:val="eop"/>
    <w:qFormat/>
    <w:rsid w:val="008908B3"/>
    <w:rPr>
      <w:lang w:val="pt-PT"/>
    </w:rPr>
  </w:style>
  <w:style w:type="character" w:customStyle="1" w:styleId="normaltextrun">
    <w:name w:val="normaltextrun"/>
    <w:basedOn w:val="Fuentedeprrafopredeter"/>
    <w:qFormat/>
    <w:rsid w:val="0002729D"/>
  </w:style>
  <w:style w:type="character" w:customStyle="1" w:styleId="xgmail-normaltextrun">
    <w:name w:val="x_gmail-normaltextrun"/>
    <w:basedOn w:val="Fuentedeprrafopredeter"/>
    <w:qFormat/>
    <w:rsid w:val="0002729D"/>
  </w:style>
  <w:style w:type="character" w:styleId="Mencinsinresolver">
    <w:name w:val="Unresolved Mention"/>
    <w:basedOn w:val="Fuentedeprrafopredeter"/>
    <w:uiPriority w:val="99"/>
    <w:semiHidden/>
    <w:unhideWhenUsed/>
    <w:qFormat/>
    <w:rsid w:val="0002729D"/>
    <w:rPr>
      <w:color w:val="605E5C"/>
      <w:shd w:val="clear" w:color="auto" w:fill="E1DFDD"/>
    </w:rPr>
  </w:style>
  <w:style w:type="character" w:customStyle="1" w:styleId="html-span">
    <w:name w:val="html-span"/>
    <w:basedOn w:val="Fuentedeprrafopredeter"/>
    <w:qFormat/>
    <w:rsid w:val="00392082"/>
  </w:style>
  <w:style w:type="paragraph" w:customStyle="1" w:styleId="Heading">
    <w:name w:val="Heading"/>
    <w:basedOn w:val="Normal"/>
    <w:next w:val="Textoindependiente"/>
    <w:qFormat/>
    <w:pPr>
      <w:keepNext/>
      <w:spacing w:before="240" w:after="120"/>
    </w:pPr>
    <w:rPr>
      <w:rFonts w:ascii="Liberation Sans" w:eastAsia="PingFang SC" w:hAnsi="Liberation Sans" w:cs="Arial Unicode MS"/>
      <w:sz w:val="28"/>
      <w:szCs w:val="28"/>
    </w:rPr>
  </w:style>
  <w:style w:type="paragraph" w:styleId="Textoindependiente">
    <w:name w:val="Body Text"/>
    <w:basedOn w:val="Normal"/>
    <w:pPr>
      <w:spacing w:after="140" w:line="276" w:lineRule="auto"/>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rPr>
  </w:style>
  <w:style w:type="paragraph" w:customStyle="1" w:styleId="Index">
    <w:name w:val="Index"/>
    <w:basedOn w:val="Normal"/>
    <w:qFormat/>
    <w:pPr>
      <w:suppressLineNumbers/>
    </w:pPr>
    <w:rPr>
      <w:rFonts w:cs="Arial Unicode MS"/>
    </w:rPr>
  </w:style>
  <w:style w:type="paragraph" w:customStyle="1" w:styleId="HeaderandFooter">
    <w:name w:val="Header and Footer"/>
    <w:basedOn w:val="Normal"/>
    <w:qFormat/>
  </w:style>
  <w:style w:type="paragraph" w:styleId="Encabezado">
    <w:name w:val="header"/>
    <w:basedOn w:val="Normal"/>
    <w:link w:val="EncabezadoCar"/>
    <w:uiPriority w:val="99"/>
    <w:unhideWhenUsed/>
    <w:rsid w:val="00C77979"/>
    <w:pPr>
      <w:tabs>
        <w:tab w:val="center" w:pos="4419"/>
        <w:tab w:val="right" w:pos="8838"/>
      </w:tabs>
    </w:pPr>
  </w:style>
  <w:style w:type="paragraph" w:styleId="Piedepgina">
    <w:name w:val="footer"/>
    <w:basedOn w:val="Normal"/>
    <w:link w:val="PiedepginaCar"/>
    <w:uiPriority w:val="99"/>
    <w:unhideWhenUsed/>
    <w:rsid w:val="00C77979"/>
    <w:pPr>
      <w:tabs>
        <w:tab w:val="center" w:pos="4419"/>
        <w:tab w:val="right" w:pos="8838"/>
      </w:tabs>
    </w:pPr>
  </w:style>
  <w:style w:type="paragraph" w:styleId="NormalWeb">
    <w:name w:val="Normal (Web)"/>
    <w:basedOn w:val="Normal"/>
    <w:uiPriority w:val="99"/>
    <w:semiHidden/>
    <w:unhideWhenUsed/>
    <w:qFormat/>
    <w:rsid w:val="00C77979"/>
    <w:pPr>
      <w:spacing w:beforeAutospacing="1" w:afterAutospacing="1"/>
    </w:pPr>
    <w:rPr>
      <w:rFonts w:ascii="Times New Roman" w:eastAsia="Times New Roman" w:hAnsi="Times New Roman" w:cs="Times New Roman"/>
      <w:kern w:val="0"/>
      <w:lang w:eastAsia="es-MX"/>
    </w:rPr>
  </w:style>
  <w:style w:type="paragraph" w:customStyle="1" w:styleId="xgmail-msolistparagraph">
    <w:name w:val="x_gmail-msolistparagraph"/>
    <w:basedOn w:val="Normal"/>
    <w:qFormat/>
    <w:rsid w:val="002C06CD"/>
    <w:pPr>
      <w:spacing w:beforeAutospacing="1" w:afterAutospacing="1"/>
    </w:pPr>
    <w:rPr>
      <w:rFonts w:ascii="Times New Roman" w:eastAsia="Times New Roman" w:hAnsi="Times New Roman" w:cs="Times New Roman"/>
      <w:kern w:val="0"/>
      <w:lang w:eastAsia="es-MX"/>
    </w:rPr>
  </w:style>
  <w:style w:type="paragraph" w:customStyle="1" w:styleId="xgmail-default">
    <w:name w:val="x_gmail-default"/>
    <w:basedOn w:val="Normal"/>
    <w:qFormat/>
    <w:rsid w:val="002C06CD"/>
    <w:pPr>
      <w:spacing w:beforeAutospacing="1" w:afterAutospacing="1"/>
    </w:pPr>
    <w:rPr>
      <w:rFonts w:ascii="Times New Roman" w:eastAsia="Times New Roman" w:hAnsi="Times New Roman" w:cs="Times New Roman"/>
      <w:kern w:val="0"/>
      <w:lang w:eastAsia="es-MX"/>
    </w:rPr>
  </w:style>
  <w:style w:type="paragraph" w:styleId="Prrafodelista">
    <w:name w:val="List Paragraph"/>
    <w:basedOn w:val="Normal"/>
    <w:uiPriority w:val="34"/>
    <w:qFormat/>
    <w:rsid w:val="002C06CD"/>
    <w:pPr>
      <w:ind w:left="720"/>
      <w:contextualSpacing/>
    </w:pPr>
  </w:style>
  <w:style w:type="paragraph" w:styleId="Sinespaciado">
    <w:name w:val="No Spacing"/>
    <w:uiPriority w:val="1"/>
    <w:qFormat/>
    <w:rsid w:val="004E3549"/>
  </w:style>
  <w:style w:type="paragraph" w:customStyle="1" w:styleId="Cuerpo">
    <w:name w:val="Cuerpo"/>
    <w:qFormat/>
    <w:rsid w:val="008908B3"/>
    <w:pPr>
      <w:spacing w:after="160" w:line="259" w:lineRule="auto"/>
    </w:pPr>
    <w:rPr>
      <w:rFonts w:ascii="Calibri" w:eastAsia="Calibri" w:hAnsi="Calibri" w:cs="Calibri"/>
      <w:color w:val="000000"/>
      <w:kern w:val="0"/>
      <w:sz w:val="22"/>
      <w:szCs w:val="22"/>
      <w:u w:color="000000"/>
      <w:lang w:val="pt-PT" w:eastAsia="es-MX"/>
    </w:rPr>
  </w:style>
  <w:style w:type="paragraph" w:customStyle="1" w:styleId="paragraph">
    <w:name w:val="paragraph"/>
    <w:basedOn w:val="Normal"/>
    <w:qFormat/>
    <w:rsid w:val="0002729D"/>
    <w:pPr>
      <w:spacing w:beforeAutospacing="1" w:afterAutospacing="1"/>
    </w:pPr>
    <w:rPr>
      <w:rFonts w:ascii="Times New Roman" w:eastAsia="Times New Roman" w:hAnsi="Times New Roman" w:cs="Times New Roman"/>
      <w:kern w:val="0"/>
      <w:lang w:eastAsia="es-MX"/>
    </w:rPr>
  </w:style>
  <w:style w:type="paragraph" w:customStyle="1" w:styleId="xgmail-msonospacing">
    <w:name w:val="x_gmail-msonospacing"/>
    <w:basedOn w:val="Normal"/>
    <w:qFormat/>
    <w:rsid w:val="00B047B4"/>
    <w:pPr>
      <w:spacing w:beforeAutospacing="1" w:afterAutospacing="1"/>
    </w:pPr>
    <w:rPr>
      <w:rFonts w:ascii="Times New Roman" w:eastAsia="Times New Roman" w:hAnsi="Times New Roman" w:cs="Times New Roman"/>
      <w:kern w:val="0"/>
      <w:lang w:eastAsia="es-MX"/>
    </w:rPr>
  </w:style>
  <w:style w:type="paragraph" w:customStyle="1" w:styleId="Default">
    <w:name w:val="Default"/>
    <w:qFormat/>
    <w:rsid w:val="00BD23E3"/>
    <w:rPr>
      <w:rFonts w:ascii="Montserrat" w:eastAsia="Calibri" w:hAnsi="Montserrat" w:cs="Montserrat"/>
      <w:color w:val="000000"/>
      <w:kern w:val="0"/>
    </w:rPr>
  </w:style>
  <w:style w:type="paragraph" w:customStyle="1" w:styleId="FrameContents">
    <w:name w:val="Frame Contents"/>
    <w:basedOn w:val="Normal"/>
    <w:qFormat/>
  </w:style>
  <w:style w:type="paragraph" w:styleId="Revisin">
    <w:name w:val="Revision"/>
    <w:hidden/>
    <w:uiPriority w:val="99"/>
    <w:semiHidden/>
    <w:rsid w:val="00CF6A8A"/>
    <w:pPr>
      <w:suppressAutoHyphens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31882067">
      <w:bodyDiv w:val="1"/>
      <w:marLeft w:val="0"/>
      <w:marRight w:val="0"/>
      <w:marTop w:val="0"/>
      <w:marBottom w:val="0"/>
      <w:divBdr>
        <w:top w:val="none" w:sz="0" w:space="0" w:color="auto"/>
        <w:left w:val="none" w:sz="0" w:space="0" w:color="auto"/>
        <w:bottom w:val="none" w:sz="0" w:space="0" w:color="auto"/>
        <w:right w:val="none" w:sz="0" w:space="0" w:color="auto"/>
      </w:divBdr>
    </w:div>
    <w:div w:id="852458119">
      <w:bodyDiv w:val="1"/>
      <w:marLeft w:val="0"/>
      <w:marRight w:val="0"/>
      <w:marTop w:val="0"/>
      <w:marBottom w:val="0"/>
      <w:divBdr>
        <w:top w:val="none" w:sz="0" w:space="0" w:color="auto"/>
        <w:left w:val="none" w:sz="0" w:space="0" w:color="auto"/>
        <w:bottom w:val="none" w:sz="0" w:space="0" w:color="auto"/>
        <w:right w:val="none" w:sz="0" w:space="0" w:color="auto"/>
      </w:divBdr>
    </w:div>
    <w:div w:id="1661805350">
      <w:bodyDiv w:val="1"/>
      <w:marLeft w:val="0"/>
      <w:marRight w:val="0"/>
      <w:marTop w:val="0"/>
      <w:marBottom w:val="0"/>
      <w:divBdr>
        <w:top w:val="none" w:sz="0" w:space="0" w:color="auto"/>
        <w:left w:val="none" w:sz="0" w:space="0" w:color="auto"/>
        <w:bottom w:val="none" w:sz="0" w:space="0" w:color="auto"/>
        <w:right w:val="none" w:sz="0" w:space="0" w:color="auto"/>
      </w:divBdr>
    </w:div>
    <w:div w:id="1747072259">
      <w:bodyDiv w:val="1"/>
      <w:marLeft w:val="0"/>
      <w:marRight w:val="0"/>
      <w:marTop w:val="0"/>
      <w:marBottom w:val="0"/>
      <w:divBdr>
        <w:top w:val="none" w:sz="0" w:space="0" w:color="auto"/>
        <w:left w:val="none" w:sz="0" w:space="0" w:color="auto"/>
        <w:bottom w:val="none" w:sz="0" w:space="0" w:color="auto"/>
        <w:right w:val="none" w:sz="0" w:space="0" w:color="auto"/>
      </w:divBdr>
    </w:div>
    <w:div w:id="185271662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imss.gob.mx/"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www.escenariosimsscultura.inba.gob.mx/" TargetMode="Externa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teatrodelanacion.com.mx/" TargetMode="External"/><Relationship Id="rId4" Type="http://schemas.openxmlformats.org/officeDocument/2006/relationships/webSettings" Target="webSettings.xml"/><Relationship Id="rId9" Type="http://schemas.openxmlformats.org/officeDocument/2006/relationships/hyperlink" Target="https://inba.gob.mx/"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majorFont>
      <a:minorFont>
        <a:latin typeface="Calibri" panose="020F0502020204030204"/>
        <a:ea typeface=""/>
        <a:cs typeface=""/>
      </a:minorFont>
    </a:fontScheme>
    <a:fmtScheme>
      <a:fillStyleLst>
        <a:solidFill>
          <a:schemeClr val="phClr"/>
        </a:solidFill>
        <a:gradFill>
          <a:gsLst>
            <a:gs pos="0">
              <a:schemeClr val="phClr">
                <a:lumMod val="110000"/>
                <a:tint val="67000"/>
              </a:schemeClr>
            </a:gs>
            <a:gs pos="50000">
              <a:schemeClr val="phClr">
                <a:lumMod val="105000"/>
                <a:tint val="73000"/>
              </a:schemeClr>
            </a:gs>
            <a:gs pos="100000">
              <a:schemeClr val="phClr">
                <a:lumMod val="105000"/>
                <a:tint val="81000"/>
              </a:schemeClr>
            </a:gs>
          </a:gsLst>
          <a:lin ang="5400000" scaled="0"/>
          <a:tileRect/>
        </a:gradFill>
        <a:gradFill>
          <a:gsLst>
            <a:gs pos="0">
              <a:schemeClr val="phClr">
                <a:lumMod val="102000"/>
                <a:tint val="94000"/>
              </a:schemeClr>
            </a:gs>
            <a:gs pos="50000">
              <a:schemeClr val="phClr">
                <a:lumMod val="100000"/>
                <a:shade val="100000"/>
              </a:schemeClr>
            </a:gs>
            <a:gs pos="100000">
              <a:schemeClr val="phClr">
                <a:lumMod val="99000"/>
                <a:shade val="78000"/>
              </a:schemeClr>
            </a:gs>
          </a:gsLst>
          <a:lin ang="5400000" scaled="0"/>
          <a:tileRect/>
        </a:gradFill>
      </a:fillStyleLst>
      <a:lnStyleLst>
        <a:ln w="6350" cap="flat" cmpd="sng" algn="ctr">
          <a:prstDash val="solid"/>
          <a:miter lim="800000"/>
        </a:ln>
        <a:ln w="12700" cap="flat" cmpd="sng" algn="ctr">
          <a:prstDash val="solid"/>
          <a:miter lim="800000"/>
        </a:ln>
        <a:ln w="19050" cap="flat" cmpd="sng" algn="ctr">
          <a:prstDash val="solid"/>
          <a:miter lim="800000"/>
        </a:ln>
      </a:lnStyleLst>
      <a:effectStyleLst>
        <a:effectStyle>
          <a:effectLst/>
        </a:effectStyle>
        <a:effectStyle>
          <a:effectLst/>
        </a:effectStyle>
        <a:effectStyle>
          <a:effectLst/>
        </a:effectStyle>
      </a:effectStyleLst>
      <a:bgFillStyleLst>
        <a:solidFill>
          <a:schemeClr val="phClr"/>
        </a:solidFill>
        <a:solidFill>
          <a:schemeClr val="phClr">
            <a:tint val="95000"/>
          </a:schemeClr>
        </a:solidFill>
        <a:gradFill>
          <a:gsLst>
            <a:gs pos="0">
              <a:schemeClr val="phClr">
                <a:tint val="93000"/>
                <a:shade val="98000"/>
                <a:lumMod val="102000"/>
              </a:schemeClr>
            </a:gs>
            <a:gs pos="50000">
              <a:schemeClr val="phClr">
                <a:tint val="98000"/>
                <a:shade val="90000"/>
                <a:lumMod val="103000"/>
              </a:schemeClr>
            </a:gs>
            <a:gs pos="100000">
              <a:schemeClr val="phClr">
                <a:shade val="63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482</Words>
  <Characters>2653</Characters>
  <Application>Microsoft Office Word</Application>
  <DocSecurity>0</DocSecurity>
  <Lines>22</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Luis Anaya</dc:creator>
  <dc:description/>
  <cp:lastModifiedBy>Luz Maria Rico Jardon</cp:lastModifiedBy>
  <cp:revision>2</cp:revision>
  <cp:lastPrinted>2025-07-09T18:50:00Z</cp:lastPrinted>
  <dcterms:created xsi:type="dcterms:W3CDTF">2025-07-11T17:04:00Z</dcterms:created>
  <dcterms:modified xsi:type="dcterms:W3CDTF">2025-07-11T17:04:00Z</dcterms:modified>
  <dc:language>es-ES</dc:language>
</cp:coreProperties>
</file>