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263C" w14:textId="56E98C4F" w:rsidR="00574C39" w:rsidRDefault="00574C39" w:rsidP="00533FAE">
      <w:pPr>
        <w:shd w:val="clear" w:color="auto" w:fill="FFFFFF"/>
        <w:spacing w:before="240"/>
        <w:jc w:val="right"/>
        <w:rPr>
          <w:rFonts w:ascii="Noto Sans" w:eastAsia="Noto Sans" w:hAnsi="Noto Sans" w:cs="Noto Sans"/>
          <w:color w:val="806000" w:themeColor="accent4" w:themeShade="80"/>
          <w:sz w:val="22"/>
          <w:szCs w:val="22"/>
        </w:rPr>
      </w:pPr>
      <w:r w:rsidRPr="00574C39">
        <w:rPr>
          <w:rFonts w:ascii="Noto Sans" w:eastAsia="Noto Sans" w:hAnsi="Noto Sans" w:cs="Noto Sans"/>
          <w:color w:val="806000" w:themeColor="accent4" w:themeShade="80"/>
          <w:sz w:val="22"/>
          <w:szCs w:val="22"/>
        </w:rPr>
        <w:t xml:space="preserve"> BOLETÍN CONJUNTO</w:t>
      </w:r>
    </w:p>
    <w:p w14:paraId="6F43C288" w14:textId="22438003" w:rsidR="00375224" w:rsidRDefault="00375224" w:rsidP="00533FAE">
      <w:pPr>
        <w:shd w:val="clear" w:color="auto" w:fill="FFFFFF"/>
        <w:jc w:val="right"/>
        <w:rPr>
          <w:rFonts w:ascii="Noto Sans" w:eastAsia="Noto Sans" w:hAnsi="Noto Sans" w:cs="Noto Sans"/>
          <w:sz w:val="22"/>
          <w:szCs w:val="22"/>
        </w:rPr>
      </w:pPr>
      <w:r w:rsidRPr="00375224">
        <w:rPr>
          <w:rFonts w:ascii="Noto Sans" w:eastAsia="Noto Sans" w:hAnsi="Noto Sans" w:cs="Noto Sans"/>
          <w:sz w:val="22"/>
          <w:szCs w:val="22"/>
        </w:rPr>
        <w:t>Ciudad de México, </w:t>
      </w:r>
      <w:r>
        <w:rPr>
          <w:rFonts w:ascii="Noto Sans" w:eastAsia="Noto Sans" w:hAnsi="Noto Sans" w:cs="Noto Sans"/>
          <w:sz w:val="22"/>
          <w:szCs w:val="22"/>
        </w:rPr>
        <w:t>jueves 20 de agosto de 2026</w:t>
      </w:r>
    </w:p>
    <w:p w14:paraId="475DDAB8" w14:textId="5B809793" w:rsidR="00811C9E" w:rsidRPr="00811C9E" w:rsidRDefault="00811C9E" w:rsidP="00533FAE">
      <w:pPr>
        <w:shd w:val="clear" w:color="auto" w:fill="FFFFFF"/>
        <w:jc w:val="right"/>
        <w:rPr>
          <w:rFonts w:ascii="Noto Sans" w:eastAsia="Noto Sans" w:hAnsi="Noto Sans" w:cs="Noto Sans"/>
          <w:sz w:val="22"/>
          <w:szCs w:val="22"/>
        </w:rPr>
      </w:pPr>
      <w:r w:rsidRPr="00811C9E">
        <w:rPr>
          <w:rFonts w:ascii="Noto Sans" w:eastAsia="Noto Sans" w:hAnsi="Noto Sans" w:cs="Noto Sans"/>
          <w:sz w:val="22"/>
          <w:szCs w:val="22"/>
        </w:rPr>
        <w:t xml:space="preserve">No. </w:t>
      </w:r>
      <w:r>
        <w:rPr>
          <w:rFonts w:ascii="Noto Sans" w:eastAsia="Noto Sans" w:hAnsi="Noto Sans" w:cs="Noto Sans"/>
          <w:sz w:val="22"/>
          <w:szCs w:val="22"/>
        </w:rPr>
        <w:t>446</w:t>
      </w:r>
      <w:r w:rsidRPr="00811C9E">
        <w:rPr>
          <w:rFonts w:ascii="Noto Sans" w:eastAsia="Noto Sans" w:hAnsi="Noto Sans" w:cs="Noto Sans"/>
          <w:sz w:val="22"/>
          <w:szCs w:val="22"/>
        </w:rPr>
        <w:t>/2026</w:t>
      </w:r>
    </w:p>
    <w:p w14:paraId="54352D98" w14:textId="77777777" w:rsidR="00A0090F" w:rsidRDefault="00735A83">
      <w:pPr>
        <w:pStyle w:val="Ttulo1"/>
        <w:keepNext w:val="0"/>
        <w:keepLines w:val="0"/>
        <w:shd w:val="clear" w:color="auto" w:fill="FFFFFF"/>
        <w:jc w:val="center"/>
        <w:rPr>
          <w:rFonts w:ascii="Noto Sans" w:eastAsia="Noto Sans" w:hAnsi="Noto Sans" w:cs="Noto Sans"/>
          <w:sz w:val="32"/>
          <w:szCs w:val="32"/>
        </w:rPr>
      </w:pPr>
      <w:r>
        <w:rPr>
          <w:rFonts w:ascii="Noto Sans" w:eastAsia="Noto Sans" w:hAnsi="Noto Sans" w:cs="Noto Sans"/>
          <w:sz w:val="32"/>
          <w:szCs w:val="32"/>
        </w:rPr>
        <w:t>Secretaría implementa un modelo nacional de atención integral del síndrome cardio-renal-metabólico</w:t>
      </w:r>
    </w:p>
    <w:p w14:paraId="17230347" w14:textId="77777777" w:rsidR="00A0090F" w:rsidRDefault="00735A83">
      <w:pPr>
        <w:numPr>
          <w:ilvl w:val="0"/>
          <w:numId w:val="1"/>
        </w:numPr>
        <w:shd w:val="clear" w:color="auto" w:fill="FFFFFF"/>
        <w:spacing w:before="240"/>
        <w:jc w:val="both"/>
        <w:rPr>
          <w:rFonts w:ascii="Noto Sans" w:eastAsia="Noto Sans" w:hAnsi="Noto Sans" w:cs="Noto Sans"/>
          <w:b/>
          <w:bCs/>
          <w:sz w:val="18"/>
          <w:szCs w:val="18"/>
        </w:rPr>
      </w:pPr>
      <w:r>
        <w:rPr>
          <w:rFonts w:ascii="Noto Sans" w:eastAsia="Noto Sans" w:hAnsi="Noto Sans" w:cs="Noto Sans"/>
          <w:b/>
          <w:bCs/>
          <w:sz w:val="18"/>
          <w:szCs w:val="18"/>
        </w:rPr>
        <w:t>El modelo busca prevenir, detectar oportunamente y atender de manera integral enfermedades que afectan al corazón, los riñones y el metabolismo</w:t>
      </w:r>
    </w:p>
    <w:p w14:paraId="35417337" w14:textId="77777777" w:rsidR="00A0090F" w:rsidRDefault="00735A83">
      <w:pPr>
        <w:numPr>
          <w:ilvl w:val="0"/>
          <w:numId w:val="1"/>
        </w:numPr>
        <w:shd w:val="clear" w:color="auto" w:fill="FFFFFF"/>
        <w:spacing w:after="240"/>
        <w:jc w:val="both"/>
        <w:rPr>
          <w:rFonts w:ascii="Noto Sans" w:eastAsia="Noto Sans" w:hAnsi="Noto Sans" w:cs="Noto Sans"/>
          <w:b/>
          <w:bCs/>
          <w:sz w:val="18"/>
          <w:szCs w:val="18"/>
        </w:rPr>
      </w:pPr>
      <w:r>
        <w:rPr>
          <w:rFonts w:ascii="Noto Sans" w:eastAsia="Noto Sans" w:hAnsi="Noto Sans" w:cs="Noto Sans"/>
          <w:b/>
          <w:bCs/>
          <w:sz w:val="18"/>
          <w:szCs w:val="18"/>
        </w:rPr>
        <w:t>Este modelo se incorpora a los Protocolos Nacionales de Atención Médica (PRONAM), con criterios homologados para las instituciones públicas de salud</w:t>
      </w:r>
    </w:p>
    <w:p w14:paraId="2AEDD634" w14:textId="526A851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La Secretaría de Salud coloca la prevención como eje de la política nacional de salud y avanza en la construcción de un modelo que permita actuar antes de que aparezca la enfermedad, identificar oportunamente los riesgos y garantizar una atención integral y continua.</w:t>
      </w:r>
    </w:p>
    <w:p w14:paraId="013F5ED6"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Como parte de esta transformación, la Secretaría implementa un modelo nacional de atención integral del síndrome cardio-renal-metabólico, que modifica la manera en que se previenen, detectan y atienden enfermedades que afectan al corazón, los riñones y el metabolismo.</w:t>
      </w:r>
    </w:p>
    <w:p w14:paraId="7725F854"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Este nuevo modelo forma parte de una visión más amplia de la política de salud, en la que la prevención deja de ser una acción aislada para convertirse en un componente transversal de la atención. Esto implica actuar no sólo en las unidades médicas, sino también en los espacios donde las personas viven, estudian y se desarrollan.</w:t>
      </w:r>
    </w:p>
    <w:p w14:paraId="06B49E63"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“Este anuncio es muy importante: lo que vamos a hacer es poner a la prevención en el centro de la salud. La prevención tiene que empezar antes de que la gente acuda al consultorio por alguna molestia o alguna enfermedad”, informó el secretario de Salud, David Kershenobich.</w:t>
      </w:r>
    </w:p>
    <w:p w14:paraId="5A2D0252" w14:textId="7D295250"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Bajo este enfoque, la Secretaría de Salud impulsa acciones que van desde la promoción de estilos de vida saludables y la detección oportuna de factores de riesgo, hasta</w:t>
      </w:r>
      <w:r w:rsidR="00533FAE">
        <w:rPr>
          <w:rFonts w:ascii="Noto Sans" w:eastAsia="Noto Sans" w:hAnsi="Noto Sans" w:cs="Noto Sans"/>
          <w:sz w:val="22"/>
          <w:szCs w:val="22"/>
        </w:rPr>
        <w:t xml:space="preserve"> </w:t>
      </w:r>
      <w:r>
        <w:rPr>
          <w:rFonts w:ascii="Noto Sans" w:eastAsia="Noto Sans" w:hAnsi="Noto Sans" w:cs="Noto Sans"/>
          <w:sz w:val="22"/>
          <w:szCs w:val="22"/>
        </w:rPr>
        <w:lastRenderedPageBreak/>
        <w:t>nuevos modelos de atención médica, protocolos homologados, capacitación del personal y estrategias de prevención en escuelas y otros espacios comunitarios.</w:t>
      </w:r>
    </w:p>
    <w:p w14:paraId="0BBEF323"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El modelo cardio-renal-metabólico plantea pasar de atender por separado enfermedades que con frecuencia se presentan de manera conjunta, hacia un manejo integral centrado en la persona y en sus trayectorias de riesgo.</w:t>
      </w:r>
    </w:p>
    <w:p w14:paraId="3782360B"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De esta manera, condiciones como diabetes mellitus, hipertensión arterial, colesterol y triglicéridos elevados y enfermedad renal crónica serán abordadas considerando la relación que existe entre ellas, con el propósito de identificar riesgos de manera oportuna y evitar que evolucionen hacia complicaciones de mayor gravedad.</w:t>
      </w:r>
    </w:p>
    <w:p w14:paraId="196023E8"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El modelo se instrumentará mediante los Protocolos Nacionales de Atención Médica (PRONAM), con criterios homologados para las instituciones públicas de salud. El tratamiento integral establecido en estos protocolos será para todas las instituciones públicas.</w:t>
      </w:r>
    </w:p>
    <w:p w14:paraId="184E41F1"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La secretaria del Consejo de Salubridad General, Patricia Clark, enfatizó que los “Protocolos Nacionales de Atención Médica establecen criterios comunes con el propósito de ofrecer una atención estandarizada en todo el sistema de salud y están sustentados en la mejor evidencia científica disponible.”</w:t>
      </w:r>
    </w:p>
    <w:p w14:paraId="0D44790B"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El modelo incorpora acciones de prevención, detección temprana, diagnóstico, seguimiento y tratamiento integral, con especial énfasis en el primer nivel de atención. Entre las medidas consideradas se encuentra la medición de peso, talla y presión arterial en cada consulta, así como análisis de sangre y orina al menos una vez al año, con el propósito de identificar oportunamente factores de riesgo y alteraciones en la salud.</w:t>
      </w:r>
    </w:p>
    <w:p w14:paraId="16E46135"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“De ahora en adelante nos estaremos refiriendo al síndrome cardiorrenal metabólico. La innovación que estamos planteando es su atención desde el primer nivel, desde la atención primaria, para tratar de evitar que progresen estas enfermedades”, añadió.</w:t>
      </w:r>
    </w:p>
    <w:p w14:paraId="5271E94C"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 xml:space="preserve">La atención integral contempla también el uso de medicamentos modernos de acuerdo con las necesidades de cada paciente, entre ellos </w:t>
      </w:r>
      <w:proofErr w:type="spellStart"/>
      <w:r>
        <w:rPr>
          <w:rFonts w:ascii="Noto Sans" w:eastAsia="Noto Sans" w:hAnsi="Noto Sans" w:cs="Noto Sans"/>
          <w:sz w:val="22"/>
          <w:szCs w:val="22"/>
        </w:rPr>
        <w:t>semaglutida</w:t>
      </w:r>
      <w:proofErr w:type="spellEnd"/>
      <w:r>
        <w:rPr>
          <w:rFonts w:ascii="Noto Sans" w:eastAsia="Noto Sans" w:hAnsi="Noto Sans" w:cs="Noto Sans"/>
          <w:sz w:val="22"/>
          <w:szCs w:val="22"/>
        </w:rPr>
        <w:t xml:space="preserve">, estatinas y </w:t>
      </w:r>
      <w:proofErr w:type="spellStart"/>
      <w:r>
        <w:rPr>
          <w:rFonts w:ascii="Noto Sans" w:eastAsia="Noto Sans" w:hAnsi="Noto Sans" w:cs="Noto Sans"/>
          <w:sz w:val="22"/>
          <w:szCs w:val="22"/>
        </w:rPr>
        <w:t>dapagliflozina</w:t>
      </w:r>
      <w:proofErr w:type="spellEnd"/>
      <w:r>
        <w:rPr>
          <w:rFonts w:ascii="Noto Sans" w:eastAsia="Noto Sans" w:hAnsi="Noto Sans" w:cs="Noto Sans"/>
          <w:sz w:val="22"/>
          <w:szCs w:val="22"/>
        </w:rPr>
        <w:t>, dirigidos al control de glucosa y peso, la reducción de grasas en sangre y la protección de la función renal.</w:t>
      </w:r>
    </w:p>
    <w:p w14:paraId="770FE78A"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lastRenderedPageBreak/>
        <w:t>En su intervención, la directora de Prestaciones Médicas del IMSS, Alba Santos Carrillo, destacó que el Instituto cuenta con más de 25 mil médicos familiares en más de mil 500 Unidades de Medicina Familiar.</w:t>
      </w:r>
    </w:p>
    <w:p w14:paraId="38329EA8"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Añadió que el objetivo es alcanzar al 100 por ciento del personal involucrado en la atención, con contenidos específicos sobre los Protocolos Nacionales de Atención Médica y el nuevo abordaje integral de las enfermedades cardio-renales y metabólicas.</w:t>
      </w:r>
    </w:p>
    <w:p w14:paraId="08FD60E3"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“Tenemos varias formas de capacitación: educación presencial, educación a distancia y programas educativos permanentes. Hemos desarrollado contenidos en todas nuestras plataformas educativas y pensamos que vamos a estar con el 100 por ciento de nuestro personal capacitado”, afirmó.</w:t>
      </w:r>
    </w:p>
    <w:p w14:paraId="7B7A8D5F"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El cambio en el modelo de atención responde a la magnitud de estas enfermedades en México. Actualmente, 14.4 millones de personas viven con diabetes mellitus, 21.3 millones con hipertensión arterial y 9.2 millones con enfermedad renal crónica, de acuerdo con información de la Encuesta Nacional de Salud y Nutrición (ENSANUT) del Instituto Nacional de Salud Pública.</w:t>
      </w:r>
    </w:p>
    <w:p w14:paraId="278E7C76"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La dimensión de estos padecimientos hace necesario cambiar la forma de entender la salud: no esperar a que aparezcan las complicaciones para actuar, sino anticiparse a ellas. Por ello, la Secretaría de Salud trabaja en distintas acciones que tienen a la prevención como eje común, desde la promoción de hábitos saludables y la intervención en entornos escolares, hasta la detección oportuna, la atención primaria, la capacitación del personal y la incorporación de criterios homogéneos en las instituciones públi</w:t>
      </w:r>
      <w:r>
        <w:rPr>
          <w:rFonts w:ascii="Noto Sans" w:eastAsia="Noto Sans" w:hAnsi="Noto Sans" w:cs="Noto Sans"/>
          <w:sz w:val="22"/>
          <w:szCs w:val="22"/>
        </w:rPr>
        <w:t>cas.</w:t>
      </w:r>
    </w:p>
    <w:p w14:paraId="20497397" w14:textId="77777777" w:rsidR="00A0090F" w:rsidRDefault="00735A83">
      <w:pPr>
        <w:shd w:val="clear" w:color="auto" w:fill="FFFFFF"/>
        <w:spacing w:before="240" w:after="240"/>
        <w:jc w:val="both"/>
        <w:rPr>
          <w:rFonts w:ascii="Noto Sans" w:eastAsia="Noto Sans" w:hAnsi="Noto Sans" w:cs="Noto Sans"/>
          <w:sz w:val="22"/>
          <w:szCs w:val="22"/>
        </w:rPr>
      </w:pPr>
      <w:r>
        <w:rPr>
          <w:rFonts w:ascii="Noto Sans" w:eastAsia="Noto Sans" w:hAnsi="Noto Sans" w:cs="Noto Sans"/>
          <w:sz w:val="22"/>
          <w:szCs w:val="22"/>
        </w:rPr>
        <w:t>Con este enfoque, PRONAM se convierte en una herramienta para llevar la prevención a la práctica y hacerla parte de la atención cotidiana. La meta es que la prevención esté presente antes, durante y después de la atención médica: antes, para reducir riesgos; durante, para detectar oportunamente; y después, para evitar complicaciones y acompañar a las personas en el cuidado de su salud.</w:t>
      </w:r>
    </w:p>
    <w:p w14:paraId="6E309C5C" w14:textId="77777777" w:rsidR="0016072F" w:rsidRDefault="00735A83" w:rsidP="0016072F">
      <w:pPr>
        <w:shd w:val="clear" w:color="auto" w:fill="FFFFFF"/>
        <w:spacing w:before="240"/>
        <w:jc w:val="both"/>
        <w:rPr>
          <w:rFonts w:ascii="Noto Sans" w:eastAsia="Noto Sans" w:hAnsi="Noto Sans" w:cs="Noto Sans"/>
          <w:sz w:val="22"/>
          <w:szCs w:val="22"/>
        </w:rPr>
      </w:pPr>
      <w:r>
        <w:rPr>
          <w:rFonts w:ascii="Noto Sans" w:eastAsia="Noto Sans" w:hAnsi="Noto Sans" w:cs="Noto Sans"/>
          <w:sz w:val="22"/>
          <w:szCs w:val="22"/>
        </w:rPr>
        <w:t>De esta manera, la Secretaría de Salud avanza hacia un sistema que no sólo atiende la enfermedad, sino que pone la salud en el centro y actúa de manera anticipada para protegerla.</w:t>
      </w:r>
    </w:p>
    <w:p w14:paraId="4F371183" w14:textId="62839D26" w:rsidR="00A0090F" w:rsidRDefault="00735A83" w:rsidP="0016072F">
      <w:pPr>
        <w:shd w:val="clear" w:color="auto" w:fill="FFFFFF"/>
        <w:spacing w:before="240"/>
        <w:jc w:val="center"/>
        <w:rPr>
          <w:rFonts w:ascii="Noto Sans" w:eastAsia="Noto Sans" w:hAnsi="Noto Sans" w:cs="Noto Sans"/>
          <w:b/>
          <w:bCs/>
          <w:sz w:val="22"/>
          <w:szCs w:val="22"/>
        </w:rPr>
      </w:pPr>
      <w:r>
        <w:rPr>
          <w:rFonts w:ascii="Noto Sans" w:eastAsia="Noto Sans" w:hAnsi="Noto Sans" w:cs="Noto Sans"/>
          <w:b/>
          <w:bCs/>
          <w:sz w:val="22"/>
          <w:szCs w:val="22"/>
        </w:rPr>
        <w:lastRenderedPageBreak/>
        <w:t>—oo00oo—</w:t>
      </w:r>
    </w:p>
    <w:p w14:paraId="0362BDCE" w14:textId="77777777" w:rsidR="00735A83" w:rsidRDefault="00735A83" w:rsidP="0016072F">
      <w:pPr>
        <w:shd w:val="clear" w:color="auto" w:fill="FFFFFF"/>
        <w:spacing w:before="240"/>
        <w:jc w:val="center"/>
        <w:rPr>
          <w:rFonts w:ascii="Noto Sans" w:eastAsia="Noto Sans" w:hAnsi="Noto Sans" w:cs="Noto Sans"/>
          <w:b/>
          <w:bCs/>
          <w:sz w:val="22"/>
          <w:szCs w:val="22"/>
        </w:rPr>
      </w:pPr>
    </w:p>
    <w:p w14:paraId="5E92EC04" w14:textId="77777777" w:rsidR="00735A83" w:rsidRPr="00735A83" w:rsidRDefault="00735A83" w:rsidP="00735A83">
      <w:pPr>
        <w:shd w:val="clear" w:color="auto" w:fill="FFFFFF"/>
        <w:spacing w:before="240"/>
        <w:jc w:val="both"/>
        <w:rPr>
          <w:rFonts w:ascii="Noto Sans" w:eastAsia="Noto Sans" w:hAnsi="Noto Sans" w:cs="Noto Sans"/>
          <w:sz w:val="22"/>
          <w:szCs w:val="22"/>
        </w:rPr>
      </w:pPr>
      <w:proofErr w:type="gramStart"/>
      <w:r w:rsidRPr="00735A83">
        <w:rPr>
          <w:rFonts w:ascii="Noto Sans" w:eastAsia="Noto Sans" w:hAnsi="Noto Sans" w:cs="Noto Sans"/>
          <w:sz w:val="22"/>
          <w:szCs w:val="22"/>
        </w:rPr>
        <w:t>LINK</w:t>
      </w:r>
      <w:proofErr w:type="gramEnd"/>
      <w:r w:rsidRPr="00735A83">
        <w:rPr>
          <w:rFonts w:ascii="Noto Sans" w:eastAsia="Noto Sans" w:hAnsi="Noto Sans" w:cs="Noto Sans"/>
          <w:sz w:val="22"/>
          <w:szCs w:val="22"/>
        </w:rPr>
        <w:t xml:space="preserve"> DE FOTOS</w:t>
      </w:r>
    </w:p>
    <w:p w14:paraId="00C27398" w14:textId="23466065" w:rsidR="00735A83" w:rsidRPr="00533FAE" w:rsidRDefault="00735A83" w:rsidP="00735A83">
      <w:pPr>
        <w:shd w:val="clear" w:color="auto" w:fill="FFFFFF"/>
        <w:spacing w:before="240"/>
        <w:jc w:val="both"/>
        <w:rPr>
          <w:rFonts w:ascii="Noto Sans" w:eastAsia="Noto Sans" w:hAnsi="Noto Sans" w:cs="Noto Sans"/>
          <w:sz w:val="22"/>
          <w:szCs w:val="22"/>
        </w:rPr>
      </w:pPr>
      <w:hyperlink r:id="rId8" w:history="1">
        <w:r w:rsidRPr="00A82CB7">
          <w:rPr>
            <w:rStyle w:val="Hipervnculo"/>
            <w:rFonts w:ascii="Noto Sans" w:eastAsia="Noto Sans" w:hAnsi="Noto Sans" w:cs="Noto Sans"/>
            <w:sz w:val="22"/>
            <w:szCs w:val="22"/>
          </w:rPr>
          <w:t>https://drive.google.com/drive/folders/1119PuG7vwXiDXBYHC2xNARWlcIAfYg1l?usp=sharing</w:t>
        </w:r>
      </w:hyperlink>
      <w:r>
        <w:rPr>
          <w:rFonts w:ascii="Noto Sans" w:eastAsia="Noto Sans" w:hAnsi="Noto Sans" w:cs="Noto Sans"/>
          <w:sz w:val="22"/>
          <w:szCs w:val="22"/>
        </w:rPr>
        <w:t xml:space="preserve"> </w:t>
      </w:r>
    </w:p>
    <w:p w14:paraId="0EA7B060" w14:textId="77777777" w:rsidR="00A0090F" w:rsidRDefault="00A0090F">
      <w:pPr>
        <w:pBdr>
          <w:top w:val="nil"/>
          <w:left w:val="nil"/>
          <w:bottom w:val="nil"/>
          <w:right w:val="nil"/>
          <w:between w:val="nil"/>
        </w:pBdr>
        <w:shd w:val="clear" w:color="auto" w:fill="FFFFFF"/>
        <w:ind w:left="-709" w:right="-660"/>
        <w:jc w:val="center"/>
        <w:rPr>
          <w:rFonts w:ascii="Noto Sans" w:eastAsia="Noto Sans" w:hAnsi="Noto Sans" w:cs="Noto Sans"/>
          <w:sz w:val="22"/>
          <w:szCs w:val="22"/>
        </w:rPr>
      </w:pPr>
    </w:p>
    <w:sectPr w:rsidR="00A0090F">
      <w:headerReference w:type="default" r:id="rId9"/>
      <w:footerReference w:type="default" r:id="rId10"/>
      <w:pgSz w:w="12240" w:h="15840"/>
      <w:pgMar w:top="2342" w:right="1701" w:bottom="1418" w:left="1701" w:header="2267" w:footer="2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A99BC" w14:textId="77777777" w:rsidR="00F95A09" w:rsidRDefault="00F95A09">
      <w:r>
        <w:separator/>
      </w:r>
    </w:p>
  </w:endnote>
  <w:endnote w:type="continuationSeparator" w:id="0">
    <w:p w14:paraId="5F854356" w14:textId="77777777" w:rsidR="00F95A09" w:rsidRDefault="00F95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embedRegular r:id="rId1" w:fontKey="{A5418556-8490-4ECD-B8F5-6A071412D561}"/>
    <w:embedBold r:id="rId2" w:fontKey="{10C4FD42-79A8-4B9F-B839-007CA5A95785}"/>
  </w:font>
  <w:font w:name="Georgia">
    <w:panose1 w:val="02040502050405020303"/>
    <w:charset w:val="00"/>
    <w:family w:val="roman"/>
    <w:pitch w:val="variable"/>
    <w:sig w:usb0="00000287" w:usb1="00000000" w:usb2="00000000" w:usb3="00000000" w:csb0="0000009F" w:csb1="00000000"/>
    <w:embedItalic r:id="rId3" w:fontKey="{346DAE12-A0D0-4E5B-8694-67443E0BCE68}"/>
  </w:font>
  <w:font w:name="Noto Sans">
    <w:altName w:val="Noto Sans"/>
    <w:charset w:val="00"/>
    <w:family w:val="swiss"/>
    <w:pitch w:val="variable"/>
    <w:sig w:usb0="E00082FF" w:usb1="400078FF" w:usb2="00000021" w:usb3="00000000" w:csb0="0000019F" w:csb1="00000000"/>
    <w:embedRegular r:id="rId4" w:fontKey="{79E60789-B966-4F50-ACC8-AAAB07C52FE7}"/>
    <w:embedBold r:id="rId5" w:fontKey="{0F3E33D6-36CD-49E6-B921-9766C4B6D5AF}"/>
  </w:font>
  <w:font w:name="Calibri Light">
    <w:panose1 w:val="020F0302020204030204"/>
    <w:charset w:val="00"/>
    <w:family w:val="swiss"/>
    <w:pitch w:val="variable"/>
    <w:sig w:usb0="E4002EFF" w:usb1="C200247B" w:usb2="00000009" w:usb3="00000000" w:csb0="000001FF" w:csb1="00000000"/>
    <w:embedRegular r:id="rId6" w:fontKey="{A7E7969A-B602-482A-AA97-AAF2CB107F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3C51" w14:textId="77777777" w:rsidR="00A0090F" w:rsidRDefault="00A0090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E1B79" w14:textId="77777777" w:rsidR="00F95A09" w:rsidRDefault="00F95A09">
      <w:r>
        <w:separator/>
      </w:r>
    </w:p>
  </w:footnote>
  <w:footnote w:type="continuationSeparator" w:id="0">
    <w:p w14:paraId="4A69EC2D" w14:textId="77777777" w:rsidR="00F95A09" w:rsidRDefault="00F95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5168" w14:textId="77777777" w:rsidR="00A0090F" w:rsidRDefault="00735A83">
    <w:pPr>
      <w:pBdr>
        <w:top w:val="nil"/>
        <w:left w:val="nil"/>
        <w:bottom w:val="nil"/>
        <w:right w:val="nil"/>
        <w:between w:val="nil"/>
      </w:pBdr>
      <w:tabs>
        <w:tab w:val="center" w:pos="4419"/>
        <w:tab w:val="right" w:pos="8838"/>
      </w:tabs>
      <w:jc w:val="center"/>
      <w:rPr>
        <w:rFonts w:ascii="Noto Sans" w:eastAsia="Noto Sans" w:hAnsi="Noto Sans" w:cs="Noto Sans"/>
        <w:color w:val="000000"/>
        <w:sz w:val="16"/>
        <w:szCs w:val="16"/>
      </w:rPr>
    </w:pPr>
    <w:r>
      <w:rPr>
        <w:noProof/>
      </w:rPr>
      <w:drawing>
        <wp:anchor distT="0" distB="0" distL="0" distR="0" simplePos="0" relativeHeight="251658240" behindDoc="1" locked="0" layoutInCell="1" hidden="0" allowOverlap="1" wp14:anchorId="5F15B4BF" wp14:editId="5EC3F5A7">
          <wp:simplePos x="0" y="0"/>
          <wp:positionH relativeFrom="column">
            <wp:posOffset>-1095783</wp:posOffset>
          </wp:positionH>
          <wp:positionV relativeFrom="paragraph">
            <wp:posOffset>-1439534</wp:posOffset>
          </wp:positionV>
          <wp:extent cx="7795592" cy="10088414"/>
          <wp:effectExtent l="0" t="0" r="0" b="0"/>
          <wp:wrapNone/>
          <wp:docPr id="4645017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4" r="14"/>
                  <a:stretch>
                    <a:fillRect/>
                  </a:stretch>
                </pic:blipFill>
                <pic:spPr>
                  <a:xfrm>
                    <a:off x="0" y="0"/>
                    <a:ext cx="7795592" cy="1008841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8313A"/>
    <w:multiLevelType w:val="multilevel"/>
    <w:tmpl w:val="5B44A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5288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90F"/>
    <w:rsid w:val="0016072F"/>
    <w:rsid w:val="00375224"/>
    <w:rsid w:val="00533FAE"/>
    <w:rsid w:val="00574C39"/>
    <w:rsid w:val="00633244"/>
    <w:rsid w:val="00642346"/>
    <w:rsid w:val="00735A83"/>
    <w:rsid w:val="00811C9E"/>
    <w:rsid w:val="00A0090F"/>
    <w:rsid w:val="00AC691F"/>
    <w:rsid w:val="00B07D91"/>
    <w:rsid w:val="00E15EB2"/>
    <w:rsid w:val="00F95A09"/>
    <w:rsid w:val="00FF79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0837D"/>
  <w15:docId w15:val="{B2CA9B49-4005-47D3-B8E4-674628FB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Normal"/>
    <w:tblPr>
      <w:tblCellMar>
        <w:top w:w="100" w:type="dxa"/>
        <w:left w:w="100" w:type="dxa"/>
        <w:bottom w:w="100" w:type="dxa"/>
        <w:right w:w="100" w:type="dxa"/>
      </w:tblCellMar>
    </w:tblPr>
  </w:style>
  <w:style w:type="table" w:customStyle="1" w:styleId="TableNormal7">
    <w:name w:val="TableNormal"/>
    <w:tblPr>
      <w:tblCellMar>
        <w:top w:w="0" w:type="dxa"/>
        <w:left w:w="0" w:type="dxa"/>
        <w:bottom w:w="0" w:type="dxa"/>
        <w:right w:w="0" w:type="dxa"/>
      </w:tblCellMar>
    </w:tblPr>
  </w:style>
  <w:style w:type="table" w:customStyle="1" w:styleId="TableNormal8">
    <w:name w:val="Table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Prrafodelista">
    <w:name w:val="List Paragraph"/>
    <w:basedOn w:val="Normal"/>
    <w:uiPriority w:val="34"/>
    <w:qFormat/>
    <w:rsid w:val="008A16D9"/>
    <w:pPr>
      <w:ind w:left="720"/>
      <w:contextualSpacing/>
    </w:pPr>
  </w:style>
  <w:style w:type="table" w:styleId="Tablaconcuadrcula">
    <w:name w:val="Table Grid"/>
    <w:basedOn w:val="Tablanormal"/>
    <w:uiPriority w:val="39"/>
    <w:rsid w:val="00F57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3988847279msonormal">
    <w:name w:val="yiv3988847279msonormal"/>
    <w:basedOn w:val="Normal"/>
    <w:rsid w:val="00157BA5"/>
    <w:pPr>
      <w:spacing w:before="100" w:beforeAutospacing="1" w:after="100" w:afterAutospacing="1"/>
    </w:pPr>
    <w:rPr>
      <w:rFonts w:ascii="Times New Roman" w:eastAsia="Times New Roman" w:hAnsi="Times New Roman" w:cs="Times New Roman"/>
    </w:rPr>
  </w:style>
  <w:style w:type="character" w:customStyle="1" w:styleId="il">
    <w:name w:val="il"/>
    <w:basedOn w:val="Fuentedeprrafopredeter"/>
    <w:rsid w:val="00777214"/>
  </w:style>
  <w:style w:type="character" w:customStyle="1" w:styleId="group-hoverbg-base-200">
    <w:name w:val="group-hover:bg-base-200"/>
    <w:basedOn w:val="Fuentedeprrafopredeter"/>
    <w:rsid w:val="00030E18"/>
  </w:style>
  <w:style w:type="character" w:customStyle="1" w:styleId="opacity-80">
    <w:name w:val="opacity-80"/>
    <w:basedOn w:val="Fuentedeprrafopredeter"/>
    <w:rsid w:val="00030E18"/>
  </w:style>
  <w:style w:type="paragraph" w:styleId="NormalWeb">
    <w:name w:val="Normal (Web)"/>
    <w:basedOn w:val="Normal"/>
    <w:uiPriority w:val="99"/>
    <w:semiHidden/>
    <w:unhideWhenUsed/>
    <w:rsid w:val="0008354C"/>
    <w:pPr>
      <w:spacing w:before="100" w:beforeAutospacing="1" w:after="100" w:afterAutospacing="1"/>
    </w:pPr>
    <w:rPr>
      <w:rFonts w:ascii="Times New Roman" w:eastAsia="Times New Roman" w:hAnsi="Times New Roman" w:cs="Times New Roman"/>
    </w:rPr>
  </w:style>
  <w:style w:type="character" w:styleId="Fuerte">
    <w:name w:val="Strong"/>
    <w:basedOn w:val="Fuentedeprrafopredeter"/>
    <w:uiPriority w:val="22"/>
    <w:qFormat/>
    <w:rsid w:val="0008354C"/>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ipervnculo">
    <w:name w:val="Hyperlink"/>
    <w:basedOn w:val="Fuentedeprrafopredeter"/>
    <w:uiPriority w:val="99"/>
    <w:unhideWhenUsed/>
    <w:rsid w:val="00735A83"/>
    <w:rPr>
      <w:color w:val="0563C1" w:themeColor="hyperlink"/>
      <w:u w:val="single"/>
    </w:rPr>
  </w:style>
  <w:style w:type="character" w:styleId="Mencinsinresolver">
    <w:name w:val="Unresolved Mention"/>
    <w:basedOn w:val="Fuentedeprrafopredeter"/>
    <w:uiPriority w:val="99"/>
    <w:semiHidden/>
    <w:unhideWhenUsed/>
    <w:rsid w:val="00735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119PuG7vwXiDXBYHC2xNARWlcIAfYg1l?usp=sha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LajVpCd7uqDfP5sYsl8dY0Ejg==">CgMxLjAyDWgudWFxcHc2b2d1NWQ4AHIhMWVCR0ZSdklRLUJmdkZXdXNYZE5EQzNVb09SMjFXTUhf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986</Words>
  <Characters>5424</Characters>
  <Application>Microsoft Office Word</Application>
  <DocSecurity>0</DocSecurity>
  <Lines>45</Lines>
  <Paragraphs>12</Paragraphs>
  <ScaleCrop>false</ScaleCrop>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Luz Maria Rico Jardon</cp:lastModifiedBy>
  <cp:revision>2</cp:revision>
  <dcterms:created xsi:type="dcterms:W3CDTF">2026-08-20T19:48:00Z</dcterms:created>
  <dcterms:modified xsi:type="dcterms:W3CDTF">2026-08-20T19:48:00Z</dcterms:modified>
</cp:coreProperties>
</file>