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E79" w:rsidRDefault="00B23E79" w:rsidP="00B23E79">
      <w:pPr>
        <w:pStyle w:val="CuerpoA"/>
        <w:adjustRightInd w:val="0"/>
        <w:snapToGrid w:val="0"/>
        <w:spacing w:after="0" w:line="240" w:lineRule="atLeast"/>
        <w:jc w:val="right"/>
        <w:rPr>
          <w:rStyle w:val="Ninguno"/>
          <w:rFonts w:ascii="Montserrat Light" w:hAnsi="Montserrat Light"/>
          <w:sz w:val="24"/>
          <w:lang w:val="es-ES"/>
        </w:rPr>
      </w:pPr>
      <w:bookmarkStart w:id="0" w:name="_GoBack"/>
      <w:bookmarkEnd w:id="0"/>
    </w:p>
    <w:p w:rsidR="00B23E79" w:rsidRPr="00B10E1A" w:rsidRDefault="00B23E79" w:rsidP="00B23E79">
      <w:pPr>
        <w:pStyle w:val="CuerpoA"/>
        <w:adjustRightInd w:val="0"/>
        <w:snapToGrid w:val="0"/>
        <w:spacing w:after="0" w:line="240" w:lineRule="atLeast"/>
        <w:jc w:val="right"/>
        <w:rPr>
          <w:rStyle w:val="Ninguno"/>
          <w:rFonts w:ascii="Montserrat Light" w:eastAsia="Montserrat Light" w:hAnsi="Montserrat Light" w:cs="Montserrat Light"/>
          <w:sz w:val="24"/>
          <w:lang w:val="es-ES"/>
        </w:rPr>
      </w:pPr>
      <w:r w:rsidRPr="00B10E1A">
        <w:rPr>
          <w:rStyle w:val="Ninguno"/>
          <w:rFonts w:ascii="Montserrat Light" w:hAnsi="Montserrat Light"/>
          <w:sz w:val="24"/>
          <w:lang w:val="es-ES"/>
        </w:rPr>
        <w:t xml:space="preserve">Ciudad de México, </w:t>
      </w:r>
      <w:r>
        <w:rPr>
          <w:rStyle w:val="Ninguno"/>
          <w:rFonts w:ascii="Montserrat Light" w:hAnsi="Montserrat Light"/>
          <w:sz w:val="24"/>
          <w:lang w:val="es-ES"/>
        </w:rPr>
        <w:t xml:space="preserve">martes 12 de octubre </w:t>
      </w:r>
      <w:r w:rsidRPr="00B10E1A">
        <w:rPr>
          <w:rStyle w:val="Ninguno"/>
          <w:rFonts w:ascii="Montserrat Light" w:hAnsi="Montserrat Light"/>
          <w:sz w:val="24"/>
          <w:lang w:val="es-ES"/>
        </w:rPr>
        <w:t>de 2021</w:t>
      </w:r>
    </w:p>
    <w:p w:rsidR="00B23E79" w:rsidRPr="00B10E1A" w:rsidRDefault="00B23E79" w:rsidP="00B23E79">
      <w:pPr>
        <w:spacing w:after="0" w:line="240" w:lineRule="atLeast"/>
        <w:jc w:val="right"/>
        <w:rPr>
          <w:rFonts w:ascii="Montserrat Light" w:hAnsi="Montserrat Light"/>
          <w:sz w:val="24"/>
          <w:szCs w:val="24"/>
          <w:lang w:val="es-ES"/>
        </w:rPr>
      </w:pPr>
      <w:r w:rsidRPr="00B10E1A">
        <w:rPr>
          <w:rFonts w:ascii="Montserrat Light" w:hAnsi="Montserrat Light"/>
          <w:sz w:val="24"/>
          <w:szCs w:val="24"/>
          <w:lang w:val="es-ES"/>
        </w:rPr>
        <w:t xml:space="preserve">No. </w:t>
      </w:r>
      <w:r>
        <w:rPr>
          <w:rFonts w:ascii="Montserrat Light" w:hAnsi="Montserrat Light"/>
          <w:sz w:val="24"/>
          <w:szCs w:val="24"/>
          <w:lang w:val="es-ES"/>
        </w:rPr>
        <w:t>455</w:t>
      </w:r>
      <w:r w:rsidRPr="00B10E1A">
        <w:rPr>
          <w:rFonts w:ascii="Montserrat Light" w:hAnsi="Montserrat Light"/>
          <w:sz w:val="24"/>
          <w:szCs w:val="24"/>
          <w:lang w:val="es-ES"/>
        </w:rPr>
        <w:t>/2021.</w:t>
      </w:r>
    </w:p>
    <w:p w:rsidR="00B23E79" w:rsidRPr="00B10E1A" w:rsidRDefault="00B23E79" w:rsidP="00B23E79">
      <w:pPr>
        <w:spacing w:after="0" w:line="240" w:lineRule="atLeast"/>
        <w:jc w:val="right"/>
        <w:rPr>
          <w:rFonts w:ascii="Montserrat Light" w:hAnsi="Montserrat Light"/>
          <w:b/>
          <w:sz w:val="28"/>
          <w:lang w:val="es-ES"/>
        </w:rPr>
      </w:pPr>
    </w:p>
    <w:p w:rsidR="00B23E79" w:rsidRPr="00B10E1A" w:rsidRDefault="00B23E79" w:rsidP="00B23E79">
      <w:pPr>
        <w:spacing w:after="0" w:line="240" w:lineRule="atLeast"/>
        <w:jc w:val="center"/>
        <w:rPr>
          <w:rFonts w:ascii="Montserrat Light" w:hAnsi="Montserrat Light"/>
          <w:b/>
          <w:sz w:val="32"/>
        </w:rPr>
      </w:pPr>
      <w:r w:rsidRPr="00B10E1A">
        <w:rPr>
          <w:rFonts w:ascii="Montserrat Light" w:hAnsi="Montserrat Light"/>
          <w:b/>
          <w:sz w:val="32"/>
        </w:rPr>
        <w:t>BOLETÍN DE PRENSA</w:t>
      </w:r>
    </w:p>
    <w:p w:rsidR="00B23E79" w:rsidRPr="00B10E1A" w:rsidRDefault="00B23E79" w:rsidP="00B23E79">
      <w:pPr>
        <w:pStyle w:val="CuerpoA"/>
        <w:spacing w:after="0" w:line="240" w:lineRule="atLeast"/>
        <w:jc w:val="both"/>
        <w:rPr>
          <w:rStyle w:val="Ninguno"/>
          <w:rFonts w:ascii="Montserrat Light" w:eastAsia="Montserrat Light" w:hAnsi="Montserrat Light" w:cs="Montserrat Light"/>
          <w:b/>
          <w:bCs/>
          <w:color w:val="000000" w:themeColor="text1"/>
        </w:rPr>
      </w:pPr>
    </w:p>
    <w:p w:rsidR="00B23E79" w:rsidRPr="00B10E1A" w:rsidRDefault="00B23E79" w:rsidP="00B23E79">
      <w:pPr>
        <w:spacing w:after="0" w:line="240" w:lineRule="atLeast"/>
        <w:jc w:val="center"/>
        <w:rPr>
          <w:rFonts w:ascii="Montserrat Light" w:eastAsia="Batang" w:hAnsi="Montserrat Light" w:cs="Arial"/>
          <w:b/>
          <w:sz w:val="28"/>
          <w:szCs w:val="28"/>
        </w:rPr>
      </w:pPr>
      <w:r w:rsidRPr="00B10E1A">
        <w:rPr>
          <w:rFonts w:ascii="Montserrat Light" w:eastAsia="Batang" w:hAnsi="Montserrat Light" w:cs="Arial"/>
          <w:b/>
          <w:sz w:val="28"/>
          <w:szCs w:val="28"/>
        </w:rPr>
        <w:t xml:space="preserve">Instrumenta IMSS el </w:t>
      </w:r>
      <w:proofErr w:type="spellStart"/>
      <w:r w:rsidRPr="00B10E1A">
        <w:rPr>
          <w:rFonts w:ascii="Montserrat Light" w:eastAsia="Batang" w:hAnsi="Montserrat Light" w:cs="Arial"/>
          <w:b/>
          <w:sz w:val="28"/>
          <w:szCs w:val="28"/>
        </w:rPr>
        <w:t>PrEP</w:t>
      </w:r>
      <w:proofErr w:type="spellEnd"/>
      <w:r w:rsidRPr="00B10E1A">
        <w:rPr>
          <w:rFonts w:ascii="Montserrat Light" w:eastAsia="Batang" w:hAnsi="Montserrat Light" w:cs="Arial"/>
          <w:b/>
          <w:sz w:val="28"/>
          <w:szCs w:val="28"/>
        </w:rPr>
        <w:t xml:space="preserve"> como un método eficaz de prevención para reducir la incidencia de casos nuevos por VIH</w:t>
      </w:r>
    </w:p>
    <w:p w:rsidR="00B23E79" w:rsidRPr="00B10E1A" w:rsidRDefault="00B23E79" w:rsidP="00B23E79">
      <w:pPr>
        <w:spacing w:after="0" w:line="240" w:lineRule="atLeast"/>
        <w:jc w:val="center"/>
        <w:rPr>
          <w:rFonts w:ascii="Montserrat Light" w:eastAsia="Batang" w:hAnsi="Montserrat Light" w:cs="Arial"/>
          <w:b/>
          <w:sz w:val="28"/>
          <w:szCs w:val="28"/>
        </w:rPr>
      </w:pPr>
    </w:p>
    <w:p w:rsidR="00B23E79" w:rsidRPr="00B10E1A" w:rsidRDefault="00B23E79" w:rsidP="00B23E79">
      <w:pPr>
        <w:pStyle w:val="Prrafodelista"/>
        <w:numPr>
          <w:ilvl w:val="0"/>
          <w:numId w:val="2"/>
        </w:numPr>
        <w:spacing w:after="0" w:line="240" w:lineRule="atLeast"/>
        <w:jc w:val="both"/>
        <w:rPr>
          <w:rFonts w:ascii="Montserrat Light" w:eastAsia="Batang" w:hAnsi="Montserrat Light"/>
          <w:b/>
        </w:rPr>
      </w:pPr>
      <w:r w:rsidRPr="00B10E1A">
        <w:rPr>
          <w:rFonts w:ascii="Montserrat Light" w:eastAsia="Batang" w:hAnsi="Montserrat Light"/>
          <w:b/>
        </w:rPr>
        <w:t>El tratamiento consiste en la toma diaria de dos medicamentos combinados en una sola tableta para bloquear la reproducción del virus en la sangre.</w:t>
      </w:r>
    </w:p>
    <w:p w:rsidR="00B23E79" w:rsidRPr="00B10E1A" w:rsidRDefault="00B23E79" w:rsidP="00B23E79">
      <w:pPr>
        <w:pStyle w:val="Prrafodelista"/>
        <w:numPr>
          <w:ilvl w:val="0"/>
          <w:numId w:val="2"/>
        </w:numPr>
        <w:spacing w:after="0" w:line="240" w:lineRule="atLeast"/>
        <w:jc w:val="both"/>
        <w:rPr>
          <w:rFonts w:ascii="Montserrat Light" w:eastAsia="Batang" w:hAnsi="Montserrat Light"/>
          <w:b/>
        </w:rPr>
      </w:pPr>
      <w:r w:rsidRPr="00B10E1A">
        <w:rPr>
          <w:rFonts w:ascii="Montserrat Light" w:eastAsia="Batang" w:hAnsi="Montserrat Light"/>
          <w:b/>
        </w:rPr>
        <w:t xml:space="preserve">A casi un año de su implementación en el IMSS, 258 personas ya están vinculadas a este mecanismo de prevención. </w:t>
      </w:r>
    </w:p>
    <w:p w:rsidR="00B23E79" w:rsidRPr="00B10E1A" w:rsidRDefault="00B23E79" w:rsidP="00B23E79">
      <w:pPr>
        <w:spacing w:after="0" w:line="240" w:lineRule="atLeast"/>
        <w:jc w:val="both"/>
        <w:rPr>
          <w:rFonts w:ascii="Montserrat Light" w:eastAsia="Batang" w:hAnsi="Montserrat Light" w:cs="Arial"/>
          <w:sz w:val="24"/>
          <w:szCs w:val="24"/>
        </w:rPr>
      </w:pPr>
    </w:p>
    <w:p w:rsidR="00B23E79" w:rsidRPr="00B10E1A" w:rsidRDefault="00B23E79" w:rsidP="00B23E79">
      <w:pPr>
        <w:spacing w:after="0" w:line="240" w:lineRule="atLeast"/>
        <w:jc w:val="both"/>
        <w:rPr>
          <w:rFonts w:ascii="Montserrat Light" w:eastAsia="Batang" w:hAnsi="Montserrat Light" w:cs="Arial"/>
          <w:sz w:val="24"/>
          <w:szCs w:val="24"/>
        </w:rPr>
      </w:pPr>
      <w:r w:rsidRPr="00B10E1A">
        <w:rPr>
          <w:rFonts w:ascii="Montserrat Light" w:eastAsia="Batang" w:hAnsi="Montserrat Light" w:cs="Arial"/>
          <w:sz w:val="24"/>
          <w:szCs w:val="24"/>
        </w:rPr>
        <w:t>Para disminuir la incidencia de casos nuevos por el Virus de Inmunodeficiencia Humana (VIH) e incrementar la detección oportuna de ésta y otras enfermedades de transmisión sexual, desde 2020, en los hospitales de segundo nivel del Instituto Mexicano del Seguro Social (IMSS) se prescribe la Profilaxis Pre exposición del VIH (</w:t>
      </w:r>
      <w:proofErr w:type="spellStart"/>
      <w:r w:rsidRPr="00B10E1A">
        <w:rPr>
          <w:rFonts w:ascii="Montserrat Light" w:eastAsia="Batang" w:hAnsi="Montserrat Light" w:cs="Arial"/>
          <w:sz w:val="24"/>
          <w:szCs w:val="24"/>
        </w:rPr>
        <w:t>PrEP</w:t>
      </w:r>
      <w:proofErr w:type="spellEnd"/>
      <w:r w:rsidRPr="00B10E1A">
        <w:rPr>
          <w:rFonts w:ascii="Montserrat Light" w:eastAsia="Batang" w:hAnsi="Montserrat Light" w:cs="Arial"/>
          <w:sz w:val="24"/>
          <w:szCs w:val="24"/>
        </w:rPr>
        <w:t>) como un método eficaz de prevención.</w:t>
      </w:r>
    </w:p>
    <w:p w:rsidR="00B23E79" w:rsidRPr="00B10E1A" w:rsidRDefault="00B23E79" w:rsidP="00B23E79">
      <w:pPr>
        <w:spacing w:after="0" w:line="240" w:lineRule="atLeast"/>
        <w:jc w:val="both"/>
        <w:rPr>
          <w:rFonts w:ascii="Montserrat Light" w:eastAsia="Batang" w:hAnsi="Montserrat Light" w:cs="Arial"/>
          <w:sz w:val="24"/>
          <w:szCs w:val="24"/>
        </w:rPr>
      </w:pPr>
    </w:p>
    <w:p w:rsidR="00B23E79" w:rsidRPr="00B10E1A" w:rsidRDefault="00B23E79" w:rsidP="00B23E79">
      <w:pPr>
        <w:spacing w:after="0" w:line="240" w:lineRule="atLeast"/>
        <w:jc w:val="both"/>
        <w:rPr>
          <w:rFonts w:ascii="Montserrat Light" w:eastAsia="Batang" w:hAnsi="Montserrat Light" w:cs="Arial"/>
          <w:sz w:val="24"/>
          <w:szCs w:val="24"/>
        </w:rPr>
      </w:pPr>
      <w:r w:rsidRPr="00B10E1A">
        <w:rPr>
          <w:rFonts w:ascii="Montserrat Light" w:eastAsia="Batang" w:hAnsi="Montserrat Light" w:cs="Arial"/>
          <w:sz w:val="24"/>
          <w:szCs w:val="24"/>
        </w:rPr>
        <w:t>Este recurso de prevención, que ha demostrado una reducción de 44 a 67 por ciento de riesgo de adquirir el VIH, funciona con la toma diaria de dos medicamentos combinados en una sola tableta, la cual bloquea la reproducción del virus en la sangre, sin embargo, es necesario acompañar este método con el uso regular del condón para prevenir otras infecciones de transmisión sexual como la sífilis, la gonorrea o la clamidia.</w:t>
      </w:r>
    </w:p>
    <w:p w:rsidR="00B23E79" w:rsidRPr="00B10E1A" w:rsidRDefault="00B23E79" w:rsidP="00B23E79">
      <w:pPr>
        <w:spacing w:after="0" w:line="240" w:lineRule="atLeast"/>
        <w:jc w:val="both"/>
        <w:rPr>
          <w:rFonts w:ascii="Montserrat Light" w:eastAsia="Batang" w:hAnsi="Montserrat Light" w:cs="Arial"/>
          <w:sz w:val="24"/>
          <w:szCs w:val="24"/>
        </w:rPr>
      </w:pPr>
    </w:p>
    <w:p w:rsidR="00B23E79" w:rsidRPr="00B10E1A" w:rsidRDefault="00B23E79" w:rsidP="00B23E79">
      <w:pPr>
        <w:spacing w:after="0" w:line="240" w:lineRule="atLeast"/>
        <w:jc w:val="both"/>
        <w:rPr>
          <w:rFonts w:ascii="Montserrat Light" w:eastAsia="Batang" w:hAnsi="Montserrat Light" w:cs="Arial"/>
          <w:sz w:val="24"/>
          <w:szCs w:val="24"/>
        </w:rPr>
      </w:pPr>
      <w:r w:rsidRPr="00B10E1A">
        <w:rPr>
          <w:rFonts w:ascii="Montserrat Light" w:eastAsia="Batang" w:hAnsi="Montserrat Light" w:cs="Arial"/>
          <w:sz w:val="24"/>
          <w:szCs w:val="24"/>
        </w:rPr>
        <w:t xml:space="preserve">La </w:t>
      </w:r>
      <w:proofErr w:type="spellStart"/>
      <w:r w:rsidRPr="00B10E1A">
        <w:rPr>
          <w:rFonts w:ascii="Montserrat Light" w:eastAsia="Batang" w:hAnsi="Montserrat Light" w:cs="Arial"/>
          <w:sz w:val="24"/>
          <w:szCs w:val="24"/>
        </w:rPr>
        <w:t>PrEP</w:t>
      </w:r>
      <w:proofErr w:type="spellEnd"/>
      <w:r w:rsidRPr="00B10E1A">
        <w:rPr>
          <w:rFonts w:ascii="Montserrat Light" w:eastAsia="Batang" w:hAnsi="Montserrat Light" w:cs="Arial"/>
          <w:sz w:val="24"/>
          <w:szCs w:val="24"/>
        </w:rPr>
        <w:t xml:space="preserve"> está indicada para personas con alto riesgo de adquirir el Virus de Inmunodeficiencia Humana y desde su prescripción hasta la fecha se han recibido alrededor de 400 solicitudes para incorporarse a esta iniciativa de prevención, de las cuales, 258 personas ya están vinculadas a este mecanismo.</w:t>
      </w:r>
    </w:p>
    <w:p w:rsidR="00B23E79" w:rsidRPr="00B10E1A" w:rsidRDefault="00B23E79" w:rsidP="00B23E79">
      <w:pPr>
        <w:spacing w:after="0" w:line="240" w:lineRule="atLeast"/>
        <w:jc w:val="both"/>
        <w:rPr>
          <w:rFonts w:ascii="Montserrat Light" w:eastAsia="Batang" w:hAnsi="Montserrat Light" w:cs="Arial"/>
          <w:sz w:val="24"/>
          <w:szCs w:val="24"/>
        </w:rPr>
      </w:pPr>
    </w:p>
    <w:p w:rsidR="00B23E79" w:rsidRPr="00B10E1A" w:rsidRDefault="00B23E79" w:rsidP="00B23E79">
      <w:pPr>
        <w:spacing w:after="0" w:line="240" w:lineRule="atLeast"/>
        <w:jc w:val="both"/>
        <w:rPr>
          <w:rFonts w:ascii="Montserrat Light" w:eastAsia="Batang" w:hAnsi="Montserrat Light" w:cs="Arial"/>
          <w:sz w:val="24"/>
          <w:szCs w:val="24"/>
        </w:rPr>
      </w:pPr>
      <w:r w:rsidRPr="00B10E1A">
        <w:rPr>
          <w:rFonts w:ascii="Montserrat Light" w:eastAsia="Batang" w:hAnsi="Montserrat Light" w:cs="Arial"/>
          <w:sz w:val="24"/>
          <w:szCs w:val="24"/>
        </w:rPr>
        <w:t xml:space="preserve">Estudios clínicos han demostrado que la </w:t>
      </w:r>
      <w:proofErr w:type="spellStart"/>
      <w:r w:rsidRPr="00B10E1A">
        <w:rPr>
          <w:rFonts w:ascii="Montserrat Light" w:eastAsia="Batang" w:hAnsi="Montserrat Light" w:cs="Arial"/>
          <w:sz w:val="24"/>
          <w:szCs w:val="24"/>
        </w:rPr>
        <w:t>PrEP</w:t>
      </w:r>
      <w:proofErr w:type="spellEnd"/>
      <w:r w:rsidRPr="00B10E1A">
        <w:rPr>
          <w:rFonts w:ascii="Montserrat Light" w:eastAsia="Batang" w:hAnsi="Montserrat Light" w:cs="Arial"/>
          <w:sz w:val="24"/>
          <w:szCs w:val="24"/>
        </w:rPr>
        <w:t xml:space="preserve"> es altamente segura para prevenir este virus y la posibilidad de efectos adversos es muy baja; sin embargo, la única contraindicación de uso es que la persona tenga deterioro en la función renal o alergia a los componentes del tratamiento, por ello, previo a este tratamiento, es necesario realizar una evaluación integral para descartar VIH, </w:t>
      </w:r>
      <w:r w:rsidRPr="00B10E1A">
        <w:rPr>
          <w:rFonts w:ascii="Montserrat Light" w:eastAsia="Batang" w:hAnsi="Montserrat Light" w:cs="Arial"/>
          <w:sz w:val="24"/>
          <w:szCs w:val="24"/>
        </w:rPr>
        <w:lastRenderedPageBreak/>
        <w:t xml:space="preserve">hepatitis B o C, en caso de detectar estos padecimientos, se brindará el tratamiento oportuno. </w:t>
      </w:r>
    </w:p>
    <w:p w:rsidR="00B23E79" w:rsidRPr="00B10E1A" w:rsidRDefault="00B23E79" w:rsidP="00B23E79">
      <w:pPr>
        <w:spacing w:after="0" w:line="240" w:lineRule="atLeast"/>
        <w:jc w:val="both"/>
        <w:rPr>
          <w:rFonts w:ascii="Montserrat Light" w:eastAsia="Batang" w:hAnsi="Montserrat Light" w:cs="Arial"/>
          <w:sz w:val="24"/>
          <w:szCs w:val="24"/>
        </w:rPr>
      </w:pPr>
    </w:p>
    <w:p w:rsidR="00B23E79" w:rsidRPr="00B10E1A" w:rsidRDefault="00B23E79" w:rsidP="00B23E79">
      <w:pPr>
        <w:spacing w:after="0" w:line="240" w:lineRule="atLeast"/>
        <w:jc w:val="both"/>
        <w:rPr>
          <w:rFonts w:ascii="Montserrat Light" w:eastAsia="Batang" w:hAnsi="Montserrat Light" w:cs="Arial"/>
          <w:sz w:val="24"/>
          <w:szCs w:val="24"/>
        </w:rPr>
      </w:pPr>
      <w:r w:rsidRPr="00B10E1A">
        <w:rPr>
          <w:rFonts w:ascii="Montserrat Light" w:eastAsia="Batang" w:hAnsi="Montserrat Light" w:cs="Arial"/>
          <w:sz w:val="24"/>
          <w:szCs w:val="24"/>
        </w:rPr>
        <w:t xml:space="preserve">Para acceder a la Profilaxis Pre exposición del VIH es necesario registrarse por correo a enlace.prep@imss.gob.mx, donde en un lapso no mayor a 10 días el usuario es contactado por el equipo del IMSS bajo el marco de la confidencialidad y se gestiona la cita en la unidad médica de forma directa donde médicos internistas e </w:t>
      </w:r>
      <w:proofErr w:type="spellStart"/>
      <w:r w:rsidRPr="00B10E1A">
        <w:rPr>
          <w:rFonts w:ascii="Montserrat Light" w:eastAsia="Batang" w:hAnsi="Montserrat Light" w:cs="Arial"/>
          <w:sz w:val="24"/>
          <w:szCs w:val="24"/>
        </w:rPr>
        <w:t>infectólogos</w:t>
      </w:r>
      <w:proofErr w:type="spellEnd"/>
      <w:r w:rsidRPr="00B10E1A">
        <w:rPr>
          <w:rFonts w:ascii="Montserrat Light" w:eastAsia="Batang" w:hAnsi="Montserrat Light" w:cs="Arial"/>
          <w:sz w:val="24"/>
          <w:szCs w:val="24"/>
        </w:rPr>
        <w:t xml:space="preserve"> evaluarán a la persona y determinarán si es candidato o no a esta profilaxis.  </w:t>
      </w:r>
    </w:p>
    <w:p w:rsidR="00B23E79" w:rsidRPr="00B10E1A" w:rsidRDefault="00B23E79" w:rsidP="00B23E79">
      <w:pPr>
        <w:spacing w:after="0" w:line="240" w:lineRule="atLeast"/>
        <w:jc w:val="both"/>
        <w:rPr>
          <w:rFonts w:ascii="Montserrat Light" w:eastAsia="Batang" w:hAnsi="Montserrat Light" w:cs="Arial"/>
          <w:sz w:val="24"/>
          <w:szCs w:val="24"/>
        </w:rPr>
      </w:pPr>
    </w:p>
    <w:p w:rsidR="00B23E79" w:rsidRPr="00B10E1A" w:rsidRDefault="00B23E79" w:rsidP="00B23E79">
      <w:pPr>
        <w:spacing w:after="0" w:line="240" w:lineRule="atLeast"/>
        <w:jc w:val="both"/>
        <w:rPr>
          <w:rFonts w:ascii="Montserrat Light" w:eastAsia="Batang" w:hAnsi="Montserrat Light" w:cs="Arial"/>
          <w:sz w:val="24"/>
          <w:szCs w:val="24"/>
        </w:rPr>
      </w:pPr>
      <w:r w:rsidRPr="00B10E1A">
        <w:rPr>
          <w:rFonts w:ascii="Montserrat Light" w:eastAsia="Batang" w:hAnsi="Montserrat Light" w:cs="Arial"/>
          <w:sz w:val="24"/>
          <w:szCs w:val="24"/>
        </w:rPr>
        <w:t xml:space="preserve">Una vez que el paciente inicia esta terapia, se acompaña de la consejería como una parte primordial del tratamiento, así como su adherencia al mismo y en este sentido, se mantiene una estrecha vigilancia a fin de verificar la eficacia de la </w:t>
      </w:r>
      <w:proofErr w:type="spellStart"/>
      <w:r w:rsidRPr="00B10E1A">
        <w:rPr>
          <w:rFonts w:ascii="Montserrat Light" w:eastAsia="Batang" w:hAnsi="Montserrat Light" w:cs="Arial"/>
          <w:sz w:val="24"/>
          <w:szCs w:val="24"/>
        </w:rPr>
        <w:t>PrEP</w:t>
      </w:r>
      <w:proofErr w:type="spellEnd"/>
      <w:r w:rsidRPr="00B10E1A">
        <w:rPr>
          <w:rFonts w:ascii="Montserrat Light" w:eastAsia="Batang" w:hAnsi="Montserrat Light" w:cs="Arial"/>
          <w:sz w:val="24"/>
          <w:szCs w:val="24"/>
        </w:rPr>
        <w:t>, para ello, cada cuatro a seis meses se realizan pruebas de VIH y anualmente se efectúan estudios para detectar hepatitis B y C, así como pruebas de función renal.</w:t>
      </w:r>
    </w:p>
    <w:p w:rsidR="00B23E79" w:rsidRPr="00B10E1A" w:rsidRDefault="00B23E79" w:rsidP="00B23E79">
      <w:pPr>
        <w:spacing w:after="0" w:line="240" w:lineRule="atLeast"/>
        <w:jc w:val="both"/>
        <w:rPr>
          <w:rFonts w:ascii="Montserrat Light" w:eastAsia="Batang" w:hAnsi="Montserrat Light" w:cs="Arial"/>
          <w:sz w:val="24"/>
          <w:szCs w:val="24"/>
        </w:rPr>
      </w:pPr>
    </w:p>
    <w:p w:rsidR="00B23E79" w:rsidRPr="00B10E1A" w:rsidRDefault="00B23E79" w:rsidP="00B23E79">
      <w:pPr>
        <w:spacing w:after="0" w:line="240" w:lineRule="atLeast"/>
        <w:jc w:val="both"/>
        <w:rPr>
          <w:rFonts w:ascii="Montserrat Light" w:eastAsia="Batang" w:hAnsi="Montserrat Light" w:cs="Arial"/>
          <w:sz w:val="24"/>
          <w:szCs w:val="24"/>
        </w:rPr>
      </w:pPr>
      <w:r w:rsidRPr="00B10E1A">
        <w:rPr>
          <w:rFonts w:ascii="Montserrat Light" w:hAnsi="Montserrat Light"/>
          <w:sz w:val="24"/>
          <w:szCs w:val="24"/>
        </w:rPr>
        <w:t xml:space="preserve">Con estas acciones el IMSS da cuenta de su compromiso en fomentar las prácticas sexuales seguras, en este sentido, esto coloca al Seguro Social como la primera institución en acercar y tratar a estas personas bajo esta iniciativa de prevención.  </w:t>
      </w:r>
    </w:p>
    <w:p w:rsidR="00B23E79" w:rsidRPr="00B10E1A" w:rsidRDefault="00B23E79" w:rsidP="00B23E79">
      <w:pPr>
        <w:spacing w:after="0" w:line="240" w:lineRule="atLeast"/>
        <w:jc w:val="both"/>
        <w:rPr>
          <w:rFonts w:ascii="Montserrat Light" w:eastAsia="Batang" w:hAnsi="Montserrat Light" w:cs="Arial"/>
          <w:sz w:val="24"/>
          <w:szCs w:val="24"/>
        </w:rPr>
      </w:pPr>
    </w:p>
    <w:p w:rsidR="00B23E79" w:rsidRPr="0062400B" w:rsidRDefault="00B23E79" w:rsidP="00B23E79">
      <w:pPr>
        <w:spacing w:after="0" w:line="240" w:lineRule="atLeast"/>
        <w:jc w:val="center"/>
        <w:rPr>
          <w:rFonts w:ascii="Montserrat Light" w:eastAsia="Montserrat Light" w:hAnsi="Montserrat Light" w:cs="Montserrat Light"/>
          <w:b/>
          <w:bCs/>
          <w:sz w:val="24"/>
          <w:szCs w:val="24"/>
        </w:rPr>
      </w:pPr>
      <w:r w:rsidRPr="00B10E1A">
        <w:rPr>
          <w:rStyle w:val="Ninguno"/>
          <w:rFonts w:ascii="Montserrat Light" w:eastAsia="Montserrat Light" w:hAnsi="Montserrat Light" w:cs="Montserrat Light"/>
          <w:b/>
          <w:bCs/>
          <w:sz w:val="24"/>
          <w:szCs w:val="24"/>
        </w:rPr>
        <w:t>--- o0o ---</w:t>
      </w:r>
    </w:p>
    <w:sectPr w:rsidR="00B23E79" w:rsidRPr="0062400B" w:rsidSect="00B23E79">
      <w:headerReference w:type="default" r:id="rId8"/>
      <w:footerReference w:type="default" r:id="rId9"/>
      <w:pgSz w:w="12240" w:h="15840"/>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D59" w:rsidRDefault="00363D59">
      <w:pPr>
        <w:spacing w:after="0" w:line="240" w:lineRule="auto"/>
      </w:pPr>
      <w:r>
        <w:separator/>
      </w:r>
    </w:p>
  </w:endnote>
  <w:endnote w:type="continuationSeparator" w:id="0">
    <w:p w:rsidR="00363D59" w:rsidRDefault="00363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Light">
    <w:altName w:val="Courier New"/>
    <w:charset w:val="00"/>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2E6" w:rsidRDefault="00B23E79">
    <w:pPr>
      <w:pStyle w:val="Piedepgina"/>
    </w:pPr>
    <w:r>
      <w:rPr>
        <w:noProof/>
        <w:lang w:val="es-AR" w:eastAsia="es-AR"/>
      </w:rPr>
      <w:drawing>
        <wp:anchor distT="0" distB="0" distL="114300" distR="114300" simplePos="0" relativeHeight="251660288" behindDoc="1" locked="0" layoutInCell="1" allowOverlap="1" wp14:anchorId="4EC87891" wp14:editId="7BC63427">
          <wp:simplePos x="0" y="0"/>
          <wp:positionH relativeFrom="column">
            <wp:posOffset>-1092836</wp:posOffset>
          </wp:positionH>
          <wp:positionV relativeFrom="paragraph">
            <wp:posOffset>-484505</wp:posOffset>
          </wp:positionV>
          <wp:extent cx="7789707" cy="1117600"/>
          <wp:effectExtent l="0" t="0" r="1905" b="635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yo soy y voy a-03.jpg"/>
                  <pic:cNvPicPr/>
                </pic:nvPicPr>
                <pic:blipFill>
                  <a:blip r:embed="rId1">
                    <a:extLst>
                      <a:ext uri="{28A0092B-C50C-407E-A947-70E740481C1C}">
                        <a14:useLocalDpi xmlns:a14="http://schemas.microsoft.com/office/drawing/2010/main" val="0"/>
                      </a:ext>
                    </a:extLst>
                  </a:blip>
                  <a:stretch>
                    <a:fillRect/>
                  </a:stretch>
                </pic:blipFill>
                <pic:spPr>
                  <a:xfrm>
                    <a:off x="0" y="0"/>
                    <a:ext cx="7839165" cy="112469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D59" w:rsidRDefault="00363D59">
      <w:pPr>
        <w:spacing w:after="0" w:line="240" w:lineRule="auto"/>
      </w:pPr>
      <w:r>
        <w:separator/>
      </w:r>
    </w:p>
  </w:footnote>
  <w:footnote w:type="continuationSeparator" w:id="0">
    <w:p w:rsidR="00363D59" w:rsidRDefault="00363D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F60" w:rsidRPr="00905F60" w:rsidRDefault="00B23E79" w:rsidP="00905F60">
    <w:pPr>
      <w:pStyle w:val="Encabezado"/>
    </w:pPr>
    <w:r>
      <w:rPr>
        <w:noProof/>
        <w:lang w:val="es-AR" w:eastAsia="es-AR"/>
      </w:rPr>
      <w:drawing>
        <wp:anchor distT="0" distB="0" distL="114300" distR="114300" simplePos="0" relativeHeight="251659264" behindDoc="1" locked="0" layoutInCell="1" allowOverlap="1" wp14:anchorId="0B7C965C" wp14:editId="45A10EFA">
          <wp:simplePos x="0" y="0"/>
          <wp:positionH relativeFrom="column">
            <wp:posOffset>-1092835</wp:posOffset>
          </wp:positionH>
          <wp:positionV relativeFrom="paragraph">
            <wp:posOffset>-474980</wp:posOffset>
          </wp:positionV>
          <wp:extent cx="7768110" cy="1498600"/>
          <wp:effectExtent l="0" t="0" r="4445" b="635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yo soy y voy a-01.jpg"/>
                  <pic:cNvPicPr/>
                </pic:nvPicPr>
                <pic:blipFill>
                  <a:blip r:embed="rId1">
                    <a:extLst>
                      <a:ext uri="{28A0092B-C50C-407E-A947-70E740481C1C}">
                        <a14:useLocalDpi xmlns:a14="http://schemas.microsoft.com/office/drawing/2010/main" val="0"/>
                      </a:ext>
                    </a:extLst>
                  </a:blip>
                  <a:stretch>
                    <a:fillRect/>
                  </a:stretch>
                </pic:blipFill>
                <pic:spPr>
                  <a:xfrm>
                    <a:off x="0" y="0"/>
                    <a:ext cx="7766353" cy="14982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5399"/>
    <w:multiLevelType w:val="hybridMultilevel"/>
    <w:tmpl w:val="0610C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E6D1219"/>
    <w:multiLevelType w:val="hybridMultilevel"/>
    <w:tmpl w:val="6BDC45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E79"/>
    <w:rsid w:val="00363D59"/>
    <w:rsid w:val="003F6441"/>
    <w:rsid w:val="004B6404"/>
    <w:rsid w:val="00B23E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E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3E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3E79"/>
  </w:style>
  <w:style w:type="paragraph" w:styleId="Piedepgina">
    <w:name w:val="footer"/>
    <w:basedOn w:val="Normal"/>
    <w:link w:val="PiedepginaCar"/>
    <w:uiPriority w:val="99"/>
    <w:unhideWhenUsed/>
    <w:rsid w:val="00B23E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3E79"/>
  </w:style>
  <w:style w:type="paragraph" w:styleId="Prrafodelista">
    <w:name w:val="List Paragraph"/>
    <w:aliases w:val="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B23E79"/>
    <w:pPr>
      <w:ind w:left="720"/>
      <w:contextualSpacing/>
    </w:pPr>
    <w:rPr>
      <w:rFonts w:ascii="Arial" w:hAnsi="Arial" w:cs="Arial"/>
    </w:rPr>
  </w:style>
  <w:style w:type="paragraph" w:customStyle="1" w:styleId="CuerpoA">
    <w:name w:val="Cuerpo A"/>
    <w:rsid w:val="00B23E79"/>
    <w:pPr>
      <w:pBdr>
        <w:top w:val="nil"/>
        <w:left w:val="nil"/>
        <w:bottom w:val="nil"/>
        <w:right w:val="nil"/>
        <w:between w:val="nil"/>
        <w:bar w:val="nil"/>
      </w:pBdr>
    </w:pPr>
    <w:rPr>
      <w:rFonts w:ascii="Calibri" w:eastAsia="Arial Unicode MS" w:hAnsi="Calibri" w:cs="Arial Unicode MS"/>
      <w:color w:val="000000"/>
      <w:u w:color="000000"/>
      <w:bdr w:val="nil"/>
      <w:lang w:val="es-ES_tradnl" w:eastAsia="es-MX"/>
    </w:rPr>
  </w:style>
  <w:style w:type="character" w:customStyle="1" w:styleId="Ninguno">
    <w:name w:val="Ninguno"/>
    <w:rsid w:val="00B23E79"/>
  </w:style>
  <w:style w:type="paragraph" w:customStyle="1" w:styleId="Cuerpo">
    <w:name w:val="Cuerpo"/>
    <w:rsid w:val="00B23E79"/>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List Paragraph1 Car"/>
    <w:basedOn w:val="Fuentedeprrafopredeter"/>
    <w:link w:val="Prrafodelista"/>
    <w:uiPriority w:val="34"/>
    <w:locked/>
    <w:rsid w:val="00B23E79"/>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E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3E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3E79"/>
  </w:style>
  <w:style w:type="paragraph" w:styleId="Piedepgina">
    <w:name w:val="footer"/>
    <w:basedOn w:val="Normal"/>
    <w:link w:val="PiedepginaCar"/>
    <w:uiPriority w:val="99"/>
    <w:unhideWhenUsed/>
    <w:rsid w:val="00B23E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3E79"/>
  </w:style>
  <w:style w:type="paragraph" w:styleId="Prrafodelista">
    <w:name w:val="List Paragraph"/>
    <w:aliases w:val="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B23E79"/>
    <w:pPr>
      <w:ind w:left="720"/>
      <w:contextualSpacing/>
    </w:pPr>
    <w:rPr>
      <w:rFonts w:ascii="Arial" w:hAnsi="Arial" w:cs="Arial"/>
    </w:rPr>
  </w:style>
  <w:style w:type="paragraph" w:customStyle="1" w:styleId="CuerpoA">
    <w:name w:val="Cuerpo A"/>
    <w:rsid w:val="00B23E79"/>
    <w:pPr>
      <w:pBdr>
        <w:top w:val="nil"/>
        <w:left w:val="nil"/>
        <w:bottom w:val="nil"/>
        <w:right w:val="nil"/>
        <w:between w:val="nil"/>
        <w:bar w:val="nil"/>
      </w:pBdr>
    </w:pPr>
    <w:rPr>
      <w:rFonts w:ascii="Calibri" w:eastAsia="Arial Unicode MS" w:hAnsi="Calibri" w:cs="Arial Unicode MS"/>
      <w:color w:val="000000"/>
      <w:u w:color="000000"/>
      <w:bdr w:val="nil"/>
      <w:lang w:val="es-ES_tradnl" w:eastAsia="es-MX"/>
    </w:rPr>
  </w:style>
  <w:style w:type="character" w:customStyle="1" w:styleId="Ninguno">
    <w:name w:val="Ninguno"/>
    <w:rsid w:val="00B23E79"/>
  </w:style>
  <w:style w:type="paragraph" w:customStyle="1" w:styleId="Cuerpo">
    <w:name w:val="Cuerpo"/>
    <w:rsid w:val="00B23E79"/>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List Paragraph1 Car"/>
    <w:basedOn w:val="Fuentedeprrafopredeter"/>
    <w:link w:val="Prrafodelista"/>
    <w:uiPriority w:val="34"/>
    <w:locked/>
    <w:rsid w:val="00B23E7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2647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Rogelio Alberto Ruiz Alemán</dc:creator>
  <cp:lastModifiedBy>Pilar</cp:lastModifiedBy>
  <cp:revision>2</cp:revision>
  <dcterms:created xsi:type="dcterms:W3CDTF">2021-10-12T15:43:00Z</dcterms:created>
  <dcterms:modified xsi:type="dcterms:W3CDTF">2021-10-12T15:43:00Z</dcterms:modified>
</cp:coreProperties>
</file>