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93" w:rsidRDefault="00830C93" w:rsidP="00830C9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830C93" w:rsidRPr="00C35DE7" w:rsidRDefault="00830C93" w:rsidP="00830C9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EB045D">
        <w:rPr>
          <w:rFonts w:ascii="Montserrat Light" w:eastAsia="Batang" w:hAnsi="Montserrat Light" w:cs="Arial"/>
          <w:sz w:val="24"/>
          <w:szCs w:val="24"/>
        </w:rPr>
        <w:t>, jueves 17 de diciembre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830C93" w:rsidRDefault="00830C93" w:rsidP="00830C9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B3937">
        <w:rPr>
          <w:rFonts w:ascii="Montserrat Light" w:eastAsia="Batang" w:hAnsi="Montserrat Light" w:cs="Arial"/>
          <w:sz w:val="24"/>
          <w:szCs w:val="24"/>
        </w:rPr>
        <w:t>841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830C93" w:rsidRDefault="00830C93" w:rsidP="00830C9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830C93" w:rsidRDefault="002D10EB" w:rsidP="00830C9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2D10EB" w:rsidRPr="002D10EB" w:rsidRDefault="002D10EB" w:rsidP="00830C9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36"/>
        </w:rPr>
      </w:pPr>
    </w:p>
    <w:p w:rsidR="002D10EB" w:rsidRPr="00EB045D" w:rsidRDefault="002D10EB" w:rsidP="00830C9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D10EB">
        <w:rPr>
          <w:rFonts w:ascii="Montserrat Light" w:eastAsia="Batang" w:hAnsi="Montserrat Light" w:cs="Arial"/>
          <w:b/>
          <w:sz w:val="36"/>
          <w:szCs w:val="36"/>
        </w:rPr>
        <w:t>Declaración de días inhábiles</w:t>
      </w:r>
      <w:bookmarkStart w:id="0" w:name="_GoBack"/>
      <w:bookmarkEnd w:id="0"/>
    </w:p>
    <w:p w:rsidR="00830C93" w:rsidRPr="00EB045D" w:rsidRDefault="00830C93" w:rsidP="00830C9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0C93" w:rsidRPr="00EB045D" w:rsidRDefault="00EB045D" w:rsidP="00EB045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</w:rPr>
      </w:pPr>
      <w:r w:rsidRPr="00EB045D">
        <w:rPr>
          <w:rFonts w:ascii="Montserrat Light" w:hAnsi="Montserrat Light"/>
          <w:b/>
        </w:rPr>
        <w:t>Los días entre el 17 de diciembre y el 6 de enero de 2021 son inhábiles respecto de diligencias vinculadas al ejercicio de funciones de la Dirección de Incorporación y Recaudación.</w:t>
      </w:r>
    </w:p>
    <w:p w:rsidR="00830C93" w:rsidRPr="00EB045D" w:rsidRDefault="00830C93" w:rsidP="00830C9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B045D" w:rsidRP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B045D">
        <w:rPr>
          <w:rFonts w:ascii="Montserrat Light" w:hAnsi="Montserrat Light"/>
          <w:sz w:val="24"/>
          <w:szCs w:val="24"/>
        </w:rPr>
        <w:t xml:space="preserve">El Consejo Técnico del Instituto Mexicano del Seguro Social declaró inhábiles los días entre el 17 de diciembre y el 6 de enero de 2021 respecto de la práctica de actuaciones, diligencias, audiencias, notificaciones o requerimientos en el marco del ejercicio de funciones por parte de la Dirección de Incorporación y Recaudación (acuerdo ACDO.SA2.HCT.141220/333.P.DIR del 14/12/20). </w:t>
      </w:r>
    </w:p>
    <w:p w:rsidR="00EB045D" w:rsidRP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B045D">
        <w:rPr>
          <w:rFonts w:ascii="Montserrat Light" w:hAnsi="Montserrat Light"/>
          <w:sz w:val="24"/>
          <w:szCs w:val="24"/>
        </w:rPr>
        <w:t xml:space="preserve">Por lo tanto, durante dicho periodo, no correrá plazo ni término alguno por lo que a la Dirección de Incorporación y Recaudación compete. </w:t>
      </w:r>
      <w:r w:rsidR="002D10EB" w:rsidRPr="002D10EB">
        <w:rPr>
          <w:rFonts w:ascii="Montserrat Light" w:hAnsi="Montserrat Light"/>
          <w:sz w:val="24"/>
          <w:szCs w:val="24"/>
        </w:rPr>
        <w:t>El Consejo Técnico procedió conforme al antecedente de marzo del año en curso (Acuerdo ACDO.AS2.HCT.300320/115.P.DIR del 30/03/20), según el cual -igualmente por lo que se refiere al ámbito competencial de la Dirección de Incorporación y Recaudación-  se declararon inhábiles los días entre el 31 de marzo y el 14 de julio.</w:t>
      </w:r>
    </w:p>
    <w:p w:rsidR="00EB045D" w:rsidRP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B045D" w:rsidRP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B045D">
        <w:rPr>
          <w:rFonts w:ascii="Montserrat Light" w:hAnsi="Montserrat Light"/>
          <w:sz w:val="24"/>
          <w:szCs w:val="24"/>
        </w:rPr>
        <w:t xml:space="preserve">La nueva decisión del Consejo responde a la utilidad comprobada de la declaración de días inhábiles para mitigar el riesgo de infección por COVID-19 al reducir la afluencia en oficinas institucionales, así como desplazamientos personales. </w:t>
      </w:r>
    </w:p>
    <w:p w:rsidR="00EB045D" w:rsidRP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830C93" w:rsidRPr="00EB045D" w:rsidRDefault="00EB045D" w:rsidP="00830C9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B045D">
        <w:rPr>
          <w:rFonts w:ascii="Montserrat Light" w:hAnsi="Montserrat Light"/>
          <w:sz w:val="24"/>
          <w:szCs w:val="24"/>
        </w:rPr>
        <w:t>De este modo, la decisión permite al IMSS continuar contribuyendo de manera activa y concreta a contener la enfermedad, proteger el derecho a la salud y a salvaguardar vidas.</w:t>
      </w:r>
    </w:p>
    <w:p w:rsidR="00EB045D" w:rsidRPr="00EB045D" w:rsidRDefault="00EB045D" w:rsidP="00830C9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0C93" w:rsidRPr="00EB045D" w:rsidRDefault="00830C93" w:rsidP="00830C9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B045D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sectPr w:rsidR="00830C93" w:rsidRPr="00EB045D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5F6" w:rsidRDefault="00CC65F6">
      <w:pPr>
        <w:spacing w:after="0" w:line="240" w:lineRule="auto"/>
      </w:pPr>
      <w:r>
        <w:separator/>
      </w:r>
    </w:p>
  </w:endnote>
  <w:endnote w:type="continuationSeparator" w:id="0">
    <w:p w:rsidR="00CC65F6" w:rsidRDefault="00CC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5F6" w:rsidRDefault="00CC65F6">
      <w:pPr>
        <w:spacing w:after="0" w:line="240" w:lineRule="auto"/>
      </w:pPr>
      <w:r>
        <w:separator/>
      </w:r>
    </w:p>
  </w:footnote>
  <w:footnote w:type="continuationSeparator" w:id="0">
    <w:p w:rsidR="00CC65F6" w:rsidRDefault="00CC6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EB045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6277AF1" wp14:editId="53A429FE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4F6A7D"/>
    <w:multiLevelType w:val="hybridMultilevel"/>
    <w:tmpl w:val="3300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93"/>
    <w:rsid w:val="002D10EB"/>
    <w:rsid w:val="0034711E"/>
    <w:rsid w:val="003B3937"/>
    <w:rsid w:val="00830C93"/>
    <w:rsid w:val="008F0F7C"/>
    <w:rsid w:val="00CC65F6"/>
    <w:rsid w:val="00EB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C9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0C9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C9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830C93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C9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0C9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C9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830C93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2020-12-17T14:06:00Z</dcterms:created>
  <dcterms:modified xsi:type="dcterms:W3CDTF">2020-12-17T14:06:00Z</dcterms:modified>
</cp:coreProperties>
</file>