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AB" w:rsidRPr="00C4668F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C4668F">
        <w:rPr>
          <w:rFonts w:ascii="Montserrat Light" w:eastAsia="Batang" w:hAnsi="Montserrat Light" w:cs="Arial"/>
          <w:sz w:val="24"/>
          <w:szCs w:val="24"/>
        </w:rPr>
        <w:t>Ciudad de México</w:t>
      </w:r>
      <w:r w:rsidR="003145F5">
        <w:rPr>
          <w:rFonts w:ascii="Montserrat Light" w:eastAsia="Batang" w:hAnsi="Montserrat Light" w:cs="Arial"/>
          <w:sz w:val="24"/>
          <w:szCs w:val="24"/>
        </w:rPr>
        <w:t xml:space="preserve">, martes 12 de noviembre </w:t>
      </w:r>
      <w:r w:rsidR="006D15AB" w:rsidRPr="00C4668F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Pr="00C4668F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4668F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15AE0">
        <w:rPr>
          <w:rFonts w:ascii="Montserrat Light" w:eastAsia="Batang" w:hAnsi="Montserrat Light" w:cs="Arial"/>
          <w:sz w:val="24"/>
          <w:szCs w:val="24"/>
        </w:rPr>
        <w:t>490</w:t>
      </w:r>
      <w:r w:rsidRPr="00C4668F">
        <w:rPr>
          <w:rFonts w:ascii="Montserrat Light" w:eastAsia="Batang" w:hAnsi="Montserrat Light" w:cs="Arial"/>
          <w:sz w:val="24"/>
          <w:szCs w:val="24"/>
        </w:rPr>
        <w:t>/2019</w:t>
      </w:r>
    </w:p>
    <w:p w:rsidR="002145EE" w:rsidRPr="00C4668F" w:rsidRDefault="002145EE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</w:p>
    <w:p w:rsidR="006D15AB" w:rsidRPr="00C4668F" w:rsidRDefault="00707DF4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C4668F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6D15AB" w:rsidRPr="00C4668F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31B71" w:rsidRPr="00C4668F" w:rsidRDefault="00631B71" w:rsidP="00631B71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  <w:r w:rsidRPr="00C4668F">
        <w:rPr>
          <w:rFonts w:ascii="Montserrat Light" w:hAnsi="Montserrat Light"/>
          <w:b/>
        </w:rPr>
        <w:t xml:space="preserve">EN </w:t>
      </w:r>
      <w:r w:rsidR="009334E0">
        <w:rPr>
          <w:rFonts w:ascii="Montserrat Light" w:hAnsi="Montserrat Light"/>
          <w:b/>
        </w:rPr>
        <w:t>OCTUBRE</w:t>
      </w:r>
      <w:r w:rsidR="00125517" w:rsidRPr="00C4668F">
        <w:rPr>
          <w:rFonts w:ascii="Montserrat Light" w:hAnsi="Montserrat Light"/>
          <w:b/>
        </w:rPr>
        <w:t xml:space="preserve"> </w:t>
      </w:r>
      <w:r w:rsidRPr="00C4668F">
        <w:rPr>
          <w:rFonts w:ascii="Montserrat Light" w:hAnsi="Montserrat Light"/>
          <w:b/>
        </w:rPr>
        <w:t>DE 2019 SE CREA</w:t>
      </w:r>
      <w:r w:rsidR="00AD6032" w:rsidRPr="00C4668F">
        <w:rPr>
          <w:rFonts w:ascii="Montserrat Light" w:hAnsi="Montserrat Light"/>
          <w:b/>
        </w:rPr>
        <w:t>R</w:t>
      </w:r>
      <w:r w:rsidRPr="00C4668F">
        <w:rPr>
          <w:rFonts w:ascii="Montserrat Light" w:hAnsi="Montserrat Light"/>
          <w:b/>
        </w:rPr>
        <w:t>O</w:t>
      </w:r>
      <w:r w:rsidR="00AD6032" w:rsidRPr="00C4668F">
        <w:rPr>
          <w:rFonts w:ascii="Montserrat Light" w:hAnsi="Montserrat Light"/>
          <w:b/>
        </w:rPr>
        <w:t>N</w:t>
      </w:r>
      <w:r w:rsidRPr="00C4668F">
        <w:rPr>
          <w:rFonts w:ascii="Montserrat Light" w:hAnsi="Montserrat Light"/>
          <w:b/>
        </w:rPr>
        <w:t xml:space="preserve"> </w:t>
      </w:r>
      <w:r w:rsidR="00125517" w:rsidRPr="00C4668F">
        <w:rPr>
          <w:rFonts w:ascii="Montserrat Light" w:hAnsi="Montserrat Light"/>
          <w:b/>
        </w:rPr>
        <w:t>1</w:t>
      </w:r>
      <w:r w:rsidR="009334E0">
        <w:rPr>
          <w:rFonts w:ascii="Montserrat Light" w:hAnsi="Montserrat Light"/>
          <w:b/>
        </w:rPr>
        <w:t>60</w:t>
      </w:r>
      <w:r w:rsidR="002C7DB2" w:rsidRPr="00C4668F">
        <w:rPr>
          <w:rFonts w:ascii="Montserrat Light" w:hAnsi="Montserrat Light"/>
          <w:b/>
        </w:rPr>
        <w:t xml:space="preserve"> MIL</w:t>
      </w:r>
      <w:r w:rsidRPr="00C4668F">
        <w:rPr>
          <w:rFonts w:ascii="Montserrat Light" w:hAnsi="Montserrat Light"/>
          <w:b/>
        </w:rPr>
        <w:t xml:space="preserve"> EMPLEOS</w:t>
      </w:r>
    </w:p>
    <w:p w:rsidR="00631B71" w:rsidRPr="00C4668F" w:rsidRDefault="00631B71" w:rsidP="00631B71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t>Al 3</w:t>
      </w:r>
      <w:r w:rsidR="007345D9">
        <w:rPr>
          <w:rFonts w:ascii="Montserrat Light" w:hAnsi="Montserrat Light"/>
          <w:sz w:val="20"/>
          <w:szCs w:val="20"/>
        </w:rPr>
        <w:t>1</w:t>
      </w:r>
      <w:r w:rsidRPr="00C4668F">
        <w:rPr>
          <w:rFonts w:ascii="Montserrat Light" w:hAnsi="Montserrat Light"/>
          <w:sz w:val="20"/>
          <w:szCs w:val="20"/>
        </w:rPr>
        <w:t xml:space="preserve"> de </w:t>
      </w:r>
      <w:r w:rsidR="007345D9">
        <w:rPr>
          <w:rFonts w:ascii="Montserrat Light" w:hAnsi="Montserrat Light"/>
          <w:sz w:val="20"/>
          <w:szCs w:val="20"/>
        </w:rPr>
        <w:t>octub</w:t>
      </w:r>
      <w:r w:rsidR="00125517" w:rsidRPr="00C4668F">
        <w:rPr>
          <w:rFonts w:ascii="Montserrat Light" w:hAnsi="Montserrat Light"/>
          <w:sz w:val="20"/>
          <w:szCs w:val="20"/>
        </w:rPr>
        <w:t>re</w:t>
      </w:r>
      <w:r w:rsidRPr="00C4668F">
        <w:rPr>
          <w:rFonts w:ascii="Montserrat Light" w:hAnsi="Montserrat Light"/>
          <w:sz w:val="20"/>
          <w:szCs w:val="20"/>
        </w:rPr>
        <w:t xml:space="preserve"> de 2019 se tienen registrados ante el Instituto Mexicano del Seguro Social 20</w:t>
      </w:r>
      <w:r w:rsidR="004F21DB" w:rsidRPr="00C4668F">
        <w:rPr>
          <w:rFonts w:ascii="Montserrat Light" w:hAnsi="Montserrat Light"/>
          <w:sz w:val="20"/>
          <w:szCs w:val="20"/>
        </w:rPr>
        <w:t>,</w:t>
      </w:r>
      <w:r w:rsidR="007E65DB">
        <w:rPr>
          <w:rFonts w:ascii="Montserrat Light" w:hAnsi="Montserrat Light"/>
          <w:sz w:val="20"/>
          <w:szCs w:val="20"/>
        </w:rPr>
        <w:t>72</w:t>
      </w:r>
      <w:r w:rsidR="004F21DB" w:rsidRPr="00C4668F">
        <w:rPr>
          <w:rFonts w:ascii="Montserrat Light" w:hAnsi="Montserrat Light"/>
          <w:sz w:val="20"/>
          <w:szCs w:val="20"/>
        </w:rPr>
        <w:t>7</w:t>
      </w:r>
      <w:r w:rsidR="007E65DB">
        <w:rPr>
          <w:rFonts w:ascii="Montserrat Light" w:hAnsi="Montserrat Light"/>
          <w:sz w:val="20"/>
          <w:szCs w:val="20"/>
        </w:rPr>
        <w:t>,424</w:t>
      </w:r>
      <w:r w:rsidRPr="00C4668F">
        <w:rPr>
          <w:rFonts w:ascii="Montserrat Light" w:hAnsi="Montserrat Light"/>
          <w:sz w:val="20"/>
          <w:szCs w:val="20"/>
        </w:rPr>
        <w:t xml:space="preserve"> </w:t>
      </w:r>
      <w:r w:rsidR="004F21DB" w:rsidRPr="00C4668F">
        <w:rPr>
          <w:rFonts w:ascii="Montserrat Light" w:hAnsi="Montserrat Light"/>
          <w:sz w:val="20"/>
          <w:szCs w:val="20"/>
        </w:rPr>
        <w:t xml:space="preserve">(veinte millones </w:t>
      </w:r>
      <w:r w:rsidR="007E65DB">
        <w:rPr>
          <w:rFonts w:ascii="Montserrat Light" w:hAnsi="Montserrat Light"/>
          <w:sz w:val="20"/>
          <w:szCs w:val="20"/>
        </w:rPr>
        <w:t xml:space="preserve">setecientos veintisiete mil </w:t>
      </w:r>
      <w:r w:rsidR="004F21DB" w:rsidRPr="00C4668F">
        <w:rPr>
          <w:rFonts w:ascii="Montserrat Light" w:hAnsi="Montserrat Light"/>
          <w:sz w:val="20"/>
          <w:szCs w:val="20"/>
        </w:rPr>
        <w:t>cuatrocientos veinti</w:t>
      </w:r>
      <w:r w:rsidR="007E65DB">
        <w:rPr>
          <w:rFonts w:ascii="Montserrat Light" w:hAnsi="Montserrat Light"/>
          <w:sz w:val="20"/>
          <w:szCs w:val="20"/>
        </w:rPr>
        <w:t>cuatro</w:t>
      </w:r>
      <w:r w:rsidR="004F21DB" w:rsidRPr="00C4668F">
        <w:rPr>
          <w:rFonts w:ascii="Montserrat Light" w:hAnsi="Montserrat Light"/>
          <w:sz w:val="20"/>
          <w:szCs w:val="20"/>
        </w:rPr>
        <w:t xml:space="preserve">) </w:t>
      </w:r>
      <w:r w:rsidRPr="00C4668F">
        <w:rPr>
          <w:rFonts w:ascii="Montserrat Light" w:hAnsi="Montserrat Light"/>
          <w:sz w:val="20"/>
          <w:szCs w:val="20"/>
        </w:rPr>
        <w:t>puestos de trabajo; de éstos, el 85.</w:t>
      </w:r>
      <w:r w:rsidR="007E65DB">
        <w:rPr>
          <w:rFonts w:ascii="Montserrat Light" w:hAnsi="Montserrat Light"/>
          <w:sz w:val="20"/>
          <w:szCs w:val="20"/>
        </w:rPr>
        <w:t>6</w:t>
      </w:r>
      <w:r w:rsidRPr="00C4668F">
        <w:rPr>
          <w:rFonts w:ascii="Montserrat Light" w:hAnsi="Montserrat Light"/>
          <w:sz w:val="20"/>
          <w:szCs w:val="20"/>
        </w:rPr>
        <w:t>%</w:t>
      </w:r>
      <w:r w:rsidR="004F21DB" w:rsidRPr="00C4668F">
        <w:rPr>
          <w:rFonts w:ascii="Montserrat Light" w:hAnsi="Montserrat Light"/>
          <w:sz w:val="20"/>
          <w:szCs w:val="20"/>
        </w:rPr>
        <w:t xml:space="preserve"> (ochenta y cinco punto </w:t>
      </w:r>
      <w:r w:rsidR="007E65DB">
        <w:rPr>
          <w:rFonts w:ascii="Montserrat Light" w:hAnsi="Montserrat Light"/>
          <w:sz w:val="20"/>
          <w:szCs w:val="20"/>
        </w:rPr>
        <w:t>seis</w:t>
      </w:r>
      <w:r w:rsidR="004F21DB" w:rsidRPr="00C4668F">
        <w:rPr>
          <w:rFonts w:ascii="Montserrat Light" w:hAnsi="Montserrat Light"/>
          <w:sz w:val="20"/>
          <w:szCs w:val="20"/>
        </w:rPr>
        <w:t xml:space="preserve"> por ciento) </w:t>
      </w:r>
      <w:r w:rsidR="0071769F" w:rsidRPr="00C4668F">
        <w:rPr>
          <w:rFonts w:ascii="Montserrat Light" w:hAnsi="Montserrat Light"/>
          <w:sz w:val="20"/>
          <w:szCs w:val="20"/>
        </w:rPr>
        <w:t>son permanentes y el 14.</w:t>
      </w:r>
      <w:r w:rsidR="007E65DB">
        <w:rPr>
          <w:rFonts w:ascii="Montserrat Light" w:hAnsi="Montserrat Light"/>
          <w:sz w:val="20"/>
          <w:szCs w:val="20"/>
        </w:rPr>
        <w:t>4</w:t>
      </w:r>
      <w:r w:rsidRPr="00C4668F">
        <w:rPr>
          <w:rFonts w:ascii="Montserrat Light" w:hAnsi="Montserrat Light"/>
          <w:sz w:val="20"/>
          <w:szCs w:val="20"/>
        </w:rPr>
        <w:t xml:space="preserve">% </w:t>
      </w:r>
      <w:r w:rsidR="004F21DB" w:rsidRPr="00C4668F">
        <w:rPr>
          <w:rFonts w:ascii="Montserrat Light" w:hAnsi="Montserrat Light"/>
          <w:sz w:val="20"/>
          <w:szCs w:val="20"/>
        </w:rPr>
        <w:t xml:space="preserve">(catorce punto </w:t>
      </w:r>
      <w:r w:rsidR="007E65DB">
        <w:rPr>
          <w:rFonts w:ascii="Montserrat Light" w:hAnsi="Montserrat Light"/>
          <w:sz w:val="20"/>
          <w:szCs w:val="20"/>
        </w:rPr>
        <w:t xml:space="preserve">cuatro </w:t>
      </w:r>
      <w:r w:rsidR="004F21DB" w:rsidRPr="00C4668F">
        <w:rPr>
          <w:rFonts w:ascii="Montserrat Light" w:hAnsi="Montserrat Light"/>
          <w:sz w:val="20"/>
          <w:szCs w:val="20"/>
        </w:rPr>
        <w:t xml:space="preserve">por ciento) </w:t>
      </w:r>
      <w:r w:rsidRPr="00C4668F">
        <w:rPr>
          <w:rFonts w:ascii="Montserrat Light" w:hAnsi="Montserrat Light"/>
          <w:sz w:val="20"/>
          <w:szCs w:val="20"/>
        </w:rPr>
        <w:t>eventuales. En los últimos años, estos porcentajes se han mantenido relativamente constantes.</w:t>
      </w:r>
    </w:p>
    <w:p w:rsidR="00631B71" w:rsidRPr="00C4668F" w:rsidRDefault="00631B71" w:rsidP="00631B71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t>Con est</w:t>
      </w:r>
      <w:r w:rsidR="00AD6032" w:rsidRPr="00C4668F">
        <w:rPr>
          <w:rFonts w:ascii="Montserrat Light" w:hAnsi="Montserrat Light"/>
          <w:sz w:val="20"/>
          <w:szCs w:val="20"/>
        </w:rPr>
        <w:t>a afiliación</w:t>
      </w:r>
      <w:r w:rsidRPr="00C4668F">
        <w:rPr>
          <w:rFonts w:ascii="Montserrat Light" w:hAnsi="Montserrat Light"/>
          <w:sz w:val="20"/>
          <w:szCs w:val="20"/>
        </w:rPr>
        <w:t xml:space="preserve">, </w:t>
      </w:r>
      <w:r w:rsidR="00D84D6E" w:rsidRPr="00C4668F">
        <w:rPr>
          <w:rFonts w:ascii="Montserrat Light" w:hAnsi="Montserrat Light"/>
          <w:sz w:val="20"/>
          <w:szCs w:val="20"/>
        </w:rPr>
        <w:t>la creación mensual de empleo</w:t>
      </w:r>
      <w:r w:rsidRPr="00C4668F">
        <w:rPr>
          <w:rFonts w:ascii="Montserrat Light" w:hAnsi="Montserrat Light"/>
          <w:sz w:val="20"/>
          <w:szCs w:val="20"/>
        </w:rPr>
        <w:t xml:space="preserve"> en </w:t>
      </w:r>
      <w:r w:rsidR="007E65DB">
        <w:rPr>
          <w:rFonts w:ascii="Montserrat Light" w:hAnsi="Montserrat Light"/>
          <w:sz w:val="20"/>
          <w:szCs w:val="20"/>
        </w:rPr>
        <w:t>octubre</w:t>
      </w:r>
      <w:r w:rsidRPr="00C4668F">
        <w:rPr>
          <w:rFonts w:ascii="Montserrat Light" w:hAnsi="Montserrat Light"/>
          <w:sz w:val="20"/>
          <w:szCs w:val="20"/>
        </w:rPr>
        <w:t xml:space="preserve"> de este año es de </w:t>
      </w:r>
      <w:r w:rsidR="002C7DB2" w:rsidRPr="00C4668F">
        <w:rPr>
          <w:rFonts w:ascii="Montserrat Light" w:hAnsi="Montserrat Light"/>
          <w:sz w:val="20"/>
          <w:szCs w:val="20"/>
        </w:rPr>
        <w:t>1</w:t>
      </w:r>
      <w:r w:rsidR="007E65DB">
        <w:rPr>
          <w:rFonts w:ascii="Montserrat Light" w:hAnsi="Montserrat Light"/>
          <w:sz w:val="20"/>
          <w:szCs w:val="20"/>
        </w:rPr>
        <w:t>59</w:t>
      </w:r>
      <w:r w:rsidR="002C7DB2" w:rsidRPr="00C4668F">
        <w:rPr>
          <w:rFonts w:ascii="Montserrat Light" w:hAnsi="Montserrat Light"/>
          <w:sz w:val="20"/>
          <w:szCs w:val="20"/>
        </w:rPr>
        <w:t>,</w:t>
      </w:r>
      <w:r w:rsidR="007E65DB">
        <w:rPr>
          <w:rFonts w:ascii="Montserrat Light" w:hAnsi="Montserrat Light"/>
          <w:sz w:val="20"/>
          <w:szCs w:val="20"/>
        </w:rPr>
        <w:t>998</w:t>
      </w:r>
      <w:r w:rsidR="00707DF4" w:rsidRPr="00C4668F">
        <w:rPr>
          <w:rFonts w:ascii="Montserrat Light" w:hAnsi="Montserrat Light"/>
          <w:sz w:val="20"/>
          <w:szCs w:val="20"/>
        </w:rPr>
        <w:t xml:space="preserve"> </w:t>
      </w:r>
      <w:r w:rsidR="004F21DB" w:rsidRPr="00C4668F">
        <w:rPr>
          <w:rFonts w:ascii="Montserrat Light" w:hAnsi="Montserrat Light"/>
          <w:sz w:val="20"/>
          <w:szCs w:val="20"/>
        </w:rPr>
        <w:t>(ciento c</w:t>
      </w:r>
      <w:r w:rsidR="00325C93">
        <w:rPr>
          <w:rFonts w:ascii="Montserrat Light" w:hAnsi="Montserrat Light"/>
          <w:sz w:val="20"/>
          <w:szCs w:val="20"/>
        </w:rPr>
        <w:t>incuenta y nueve mil novecientos noventa y ocho</w:t>
      </w:r>
      <w:r w:rsidR="004F21DB" w:rsidRPr="00C4668F">
        <w:rPr>
          <w:rFonts w:ascii="Montserrat Light" w:hAnsi="Montserrat Light"/>
          <w:sz w:val="20"/>
          <w:szCs w:val="20"/>
        </w:rPr>
        <w:t xml:space="preserve">) </w:t>
      </w:r>
      <w:r w:rsidRPr="00C4668F">
        <w:rPr>
          <w:rFonts w:ascii="Montserrat Light" w:hAnsi="Montserrat Light"/>
          <w:sz w:val="20"/>
          <w:szCs w:val="20"/>
        </w:rPr>
        <w:t>puestos</w:t>
      </w:r>
      <w:r w:rsidR="00D47772">
        <w:rPr>
          <w:rFonts w:ascii="Montserrat Light" w:hAnsi="Montserrat Light"/>
          <w:sz w:val="20"/>
          <w:szCs w:val="20"/>
        </w:rPr>
        <w:t>.</w:t>
      </w:r>
    </w:p>
    <w:p w:rsidR="00631B71" w:rsidRPr="00C4668F" w:rsidRDefault="00631B71" w:rsidP="00631B71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t>En lo que va del año</w:t>
      </w:r>
      <w:r w:rsidR="000E0A8A">
        <w:rPr>
          <w:rFonts w:ascii="Montserrat Light" w:hAnsi="Montserrat Light"/>
          <w:sz w:val="20"/>
          <w:szCs w:val="20"/>
        </w:rPr>
        <w:t>, de enero a octubre,</w:t>
      </w:r>
      <w:r w:rsidRPr="00C4668F">
        <w:rPr>
          <w:rFonts w:ascii="Montserrat Light" w:hAnsi="Montserrat Light"/>
          <w:sz w:val="20"/>
          <w:szCs w:val="20"/>
        </w:rPr>
        <w:t xml:space="preserve"> </w:t>
      </w:r>
      <w:r w:rsidR="00D61262" w:rsidRPr="00C4668F">
        <w:rPr>
          <w:rFonts w:ascii="Montserrat Light" w:hAnsi="Montserrat Light"/>
          <w:sz w:val="20"/>
          <w:szCs w:val="20"/>
        </w:rPr>
        <w:t xml:space="preserve">la variación del empleo es de </w:t>
      </w:r>
      <w:r w:rsidR="00375235">
        <w:rPr>
          <w:rFonts w:ascii="Montserrat Light" w:hAnsi="Montserrat Light"/>
          <w:sz w:val="20"/>
          <w:szCs w:val="20"/>
        </w:rPr>
        <w:t>6</w:t>
      </w:r>
      <w:r w:rsidR="00D61262" w:rsidRPr="00C4668F">
        <w:rPr>
          <w:rFonts w:ascii="Montserrat Light" w:hAnsi="Montserrat Light"/>
          <w:sz w:val="20"/>
          <w:szCs w:val="20"/>
        </w:rPr>
        <w:t>48,0</w:t>
      </w:r>
      <w:r w:rsidR="00375235">
        <w:rPr>
          <w:rFonts w:ascii="Montserrat Light" w:hAnsi="Montserrat Light"/>
          <w:sz w:val="20"/>
          <w:szCs w:val="20"/>
        </w:rPr>
        <w:t>59</w:t>
      </w:r>
      <w:r w:rsidR="00D61262" w:rsidRPr="00C4668F">
        <w:rPr>
          <w:rFonts w:ascii="Montserrat Light" w:hAnsi="Montserrat Light"/>
          <w:sz w:val="20"/>
          <w:szCs w:val="20"/>
        </w:rPr>
        <w:t xml:space="preserve"> </w:t>
      </w:r>
      <w:r w:rsidR="004F21DB" w:rsidRPr="00C4668F">
        <w:rPr>
          <w:rFonts w:ascii="Montserrat Light" w:hAnsi="Montserrat Light"/>
          <w:sz w:val="20"/>
          <w:szCs w:val="20"/>
        </w:rPr>
        <w:t>(</w:t>
      </w:r>
      <w:r w:rsidR="00375235">
        <w:rPr>
          <w:rFonts w:ascii="Montserrat Light" w:hAnsi="Montserrat Light"/>
          <w:sz w:val="20"/>
          <w:szCs w:val="20"/>
        </w:rPr>
        <w:t>seiscientos cuarenta y ocho mil</w:t>
      </w:r>
      <w:r w:rsidR="004F21DB" w:rsidRPr="00C4668F">
        <w:rPr>
          <w:rFonts w:ascii="Montserrat Light" w:hAnsi="Montserrat Light"/>
          <w:sz w:val="20"/>
          <w:szCs w:val="20"/>
        </w:rPr>
        <w:t xml:space="preserve"> </w:t>
      </w:r>
      <w:r w:rsidR="00375235">
        <w:rPr>
          <w:rFonts w:ascii="Montserrat Light" w:hAnsi="Montserrat Light"/>
          <w:sz w:val="20"/>
          <w:szCs w:val="20"/>
        </w:rPr>
        <w:t>cincuenta y nueve</w:t>
      </w:r>
      <w:r w:rsidR="004F21DB" w:rsidRPr="00C4668F">
        <w:rPr>
          <w:rFonts w:ascii="Montserrat Light" w:hAnsi="Montserrat Light"/>
          <w:sz w:val="20"/>
          <w:szCs w:val="20"/>
        </w:rPr>
        <w:t xml:space="preserve">) </w:t>
      </w:r>
      <w:r w:rsidRPr="00C4668F">
        <w:rPr>
          <w:rFonts w:ascii="Montserrat Light" w:hAnsi="Montserrat Light"/>
          <w:sz w:val="20"/>
          <w:szCs w:val="20"/>
        </w:rPr>
        <w:t>empleos</w:t>
      </w:r>
      <w:r w:rsidR="000F5022">
        <w:rPr>
          <w:rFonts w:ascii="Montserrat Light" w:hAnsi="Montserrat Light"/>
          <w:sz w:val="20"/>
          <w:szCs w:val="20"/>
        </w:rPr>
        <w:t>,</w:t>
      </w:r>
      <w:r w:rsidRPr="00C4668F">
        <w:rPr>
          <w:rFonts w:ascii="Montserrat Light" w:hAnsi="Montserrat Light"/>
          <w:sz w:val="20"/>
          <w:szCs w:val="20"/>
        </w:rPr>
        <w:t xml:space="preserve"> de los cuales, el </w:t>
      </w:r>
      <w:r w:rsidR="00D61262" w:rsidRPr="00C4668F">
        <w:rPr>
          <w:rFonts w:ascii="Montserrat Light" w:hAnsi="Montserrat Light"/>
          <w:sz w:val="20"/>
          <w:szCs w:val="20"/>
        </w:rPr>
        <w:t>8</w:t>
      </w:r>
      <w:r w:rsidR="00375235">
        <w:rPr>
          <w:rFonts w:ascii="Montserrat Light" w:hAnsi="Montserrat Light"/>
          <w:sz w:val="20"/>
          <w:szCs w:val="20"/>
        </w:rPr>
        <w:t>0</w:t>
      </w:r>
      <w:r w:rsidRPr="00C4668F">
        <w:rPr>
          <w:rFonts w:ascii="Montserrat Light" w:hAnsi="Montserrat Light"/>
          <w:sz w:val="20"/>
          <w:szCs w:val="20"/>
        </w:rPr>
        <w:t>%</w:t>
      </w:r>
      <w:r w:rsidR="004F21DB" w:rsidRPr="00C4668F">
        <w:rPr>
          <w:rFonts w:ascii="Montserrat Light" w:hAnsi="Montserrat Light"/>
          <w:sz w:val="20"/>
          <w:szCs w:val="20"/>
        </w:rPr>
        <w:t xml:space="preserve"> (ochenta por ciento)</w:t>
      </w:r>
      <w:r w:rsidRPr="00C4668F">
        <w:rPr>
          <w:rFonts w:ascii="Montserrat Light" w:hAnsi="Montserrat Light"/>
          <w:sz w:val="20"/>
          <w:szCs w:val="20"/>
        </w:rPr>
        <w:t xml:space="preserve"> corresponde a empleos permanentes.</w:t>
      </w:r>
    </w:p>
    <w:p w:rsidR="00631B71" w:rsidRPr="00C4668F" w:rsidRDefault="00D61262" w:rsidP="00631B71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t xml:space="preserve">La creación de empleo en los últimos doce meses </w:t>
      </w:r>
      <w:r w:rsidR="00631B71" w:rsidRPr="00C4668F">
        <w:rPr>
          <w:rFonts w:ascii="Montserrat Light" w:hAnsi="Montserrat Light"/>
          <w:sz w:val="20"/>
          <w:szCs w:val="20"/>
        </w:rPr>
        <w:t>es de 3</w:t>
      </w:r>
      <w:r w:rsidRPr="00C4668F">
        <w:rPr>
          <w:rFonts w:ascii="Montserrat Light" w:hAnsi="Montserrat Light"/>
          <w:sz w:val="20"/>
          <w:szCs w:val="20"/>
        </w:rPr>
        <w:t>7</w:t>
      </w:r>
      <w:r w:rsidR="00375235">
        <w:rPr>
          <w:rFonts w:ascii="Montserrat Light" w:hAnsi="Montserrat Light"/>
          <w:sz w:val="20"/>
          <w:szCs w:val="20"/>
        </w:rPr>
        <w:t>1,245</w:t>
      </w:r>
      <w:r w:rsidR="00707DF4" w:rsidRPr="00C4668F">
        <w:rPr>
          <w:rFonts w:ascii="Montserrat Light" w:hAnsi="Montserrat Light"/>
          <w:sz w:val="20"/>
          <w:szCs w:val="20"/>
        </w:rPr>
        <w:t xml:space="preserve"> </w:t>
      </w:r>
      <w:r w:rsidR="004F21DB" w:rsidRPr="00C4668F">
        <w:rPr>
          <w:rFonts w:ascii="Montserrat Light" w:hAnsi="Montserrat Light"/>
          <w:sz w:val="20"/>
          <w:szCs w:val="20"/>
        </w:rPr>
        <w:t xml:space="preserve">(trescientos setenta y </w:t>
      </w:r>
      <w:r w:rsidR="00375235">
        <w:rPr>
          <w:rFonts w:ascii="Montserrat Light" w:hAnsi="Montserrat Light"/>
          <w:sz w:val="20"/>
          <w:szCs w:val="20"/>
        </w:rPr>
        <w:t>un</w:t>
      </w:r>
      <w:r w:rsidR="004F21DB" w:rsidRPr="00C4668F">
        <w:rPr>
          <w:rFonts w:ascii="Montserrat Light" w:hAnsi="Montserrat Light"/>
          <w:sz w:val="20"/>
          <w:szCs w:val="20"/>
        </w:rPr>
        <w:t xml:space="preserve"> mil </w:t>
      </w:r>
      <w:r w:rsidR="00375235">
        <w:rPr>
          <w:rFonts w:ascii="Montserrat Light" w:hAnsi="Montserrat Light"/>
          <w:sz w:val="20"/>
          <w:szCs w:val="20"/>
        </w:rPr>
        <w:t xml:space="preserve">doscientos </w:t>
      </w:r>
      <w:r w:rsidR="004F21DB" w:rsidRPr="00C4668F">
        <w:rPr>
          <w:rFonts w:ascii="Montserrat Light" w:hAnsi="Montserrat Light"/>
          <w:sz w:val="20"/>
          <w:szCs w:val="20"/>
        </w:rPr>
        <w:t>cua</w:t>
      </w:r>
      <w:r w:rsidR="00375235">
        <w:rPr>
          <w:rFonts w:ascii="Montserrat Light" w:hAnsi="Montserrat Light"/>
          <w:sz w:val="20"/>
          <w:szCs w:val="20"/>
        </w:rPr>
        <w:t>renta y cinco</w:t>
      </w:r>
      <w:r w:rsidR="004F21DB" w:rsidRPr="00C4668F">
        <w:rPr>
          <w:rFonts w:ascii="Montserrat Light" w:hAnsi="Montserrat Light"/>
          <w:sz w:val="20"/>
          <w:szCs w:val="20"/>
        </w:rPr>
        <w:t xml:space="preserve">) </w:t>
      </w:r>
      <w:r w:rsidR="00002B9E" w:rsidRPr="00C4668F">
        <w:rPr>
          <w:rFonts w:ascii="Montserrat Light" w:hAnsi="Montserrat Light"/>
          <w:sz w:val="20"/>
          <w:szCs w:val="20"/>
        </w:rPr>
        <w:t>puestos</w:t>
      </w:r>
      <w:r w:rsidR="00631B71" w:rsidRPr="00C4668F">
        <w:rPr>
          <w:rFonts w:ascii="Montserrat Light" w:hAnsi="Montserrat Light"/>
          <w:sz w:val="20"/>
          <w:szCs w:val="20"/>
        </w:rPr>
        <w:t>, equivalente a una tasa anual de 1.</w:t>
      </w:r>
      <w:r w:rsidR="00375235">
        <w:rPr>
          <w:rFonts w:ascii="Montserrat Light" w:hAnsi="Montserrat Light"/>
          <w:sz w:val="20"/>
          <w:szCs w:val="20"/>
        </w:rPr>
        <w:t>8</w:t>
      </w:r>
      <w:r w:rsidR="00631B71" w:rsidRPr="00C4668F">
        <w:rPr>
          <w:rFonts w:ascii="Montserrat Light" w:hAnsi="Montserrat Light"/>
          <w:sz w:val="20"/>
          <w:szCs w:val="20"/>
        </w:rPr>
        <w:t>%</w:t>
      </w:r>
      <w:r w:rsidR="004F21DB" w:rsidRPr="00C4668F">
        <w:rPr>
          <w:rFonts w:ascii="Montserrat Light" w:hAnsi="Montserrat Light"/>
          <w:sz w:val="20"/>
          <w:szCs w:val="20"/>
        </w:rPr>
        <w:t xml:space="preserve"> (uno punto </w:t>
      </w:r>
      <w:r w:rsidR="00375235">
        <w:rPr>
          <w:rFonts w:ascii="Montserrat Light" w:hAnsi="Montserrat Light"/>
          <w:sz w:val="20"/>
          <w:szCs w:val="20"/>
        </w:rPr>
        <w:t>ocho</w:t>
      </w:r>
      <w:r w:rsidR="004F21DB" w:rsidRPr="00C4668F">
        <w:rPr>
          <w:rFonts w:ascii="Montserrat Light" w:hAnsi="Montserrat Light"/>
          <w:sz w:val="20"/>
          <w:szCs w:val="20"/>
        </w:rPr>
        <w:t xml:space="preserve"> por ciento)</w:t>
      </w:r>
      <w:r w:rsidR="006847A0" w:rsidRPr="00C4668F">
        <w:rPr>
          <w:rFonts w:ascii="Montserrat Light" w:hAnsi="Montserrat Light"/>
          <w:sz w:val="20"/>
          <w:szCs w:val="20"/>
        </w:rPr>
        <w:t>.</w:t>
      </w:r>
    </w:p>
    <w:p w:rsidR="00631B71" w:rsidRPr="00C4668F" w:rsidRDefault="00631B71" w:rsidP="00631B71">
      <w:pPr>
        <w:numPr>
          <w:ilvl w:val="0"/>
          <w:numId w:val="2"/>
        </w:numPr>
        <w:spacing w:after="240"/>
        <w:ind w:left="284" w:right="-1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t xml:space="preserve">Este crecimiento anual es impulsado por el sector </w:t>
      </w:r>
      <w:r w:rsidR="00375235" w:rsidRPr="00C4668F">
        <w:rPr>
          <w:rFonts w:ascii="Montserrat Light" w:hAnsi="Montserrat Light"/>
          <w:sz w:val="20"/>
          <w:szCs w:val="20"/>
        </w:rPr>
        <w:t xml:space="preserve">agropecuario con </w:t>
      </w:r>
      <w:r w:rsidR="00375235">
        <w:rPr>
          <w:rFonts w:ascii="Montserrat Light" w:hAnsi="Montserrat Light"/>
          <w:sz w:val="20"/>
          <w:szCs w:val="20"/>
        </w:rPr>
        <w:t>5.3</w:t>
      </w:r>
      <w:r w:rsidR="00375235" w:rsidRPr="00C4668F">
        <w:rPr>
          <w:rFonts w:ascii="Montserrat Light" w:hAnsi="Montserrat Light"/>
          <w:sz w:val="20"/>
          <w:szCs w:val="20"/>
        </w:rPr>
        <w:t>% (c</w:t>
      </w:r>
      <w:r w:rsidR="00375235">
        <w:rPr>
          <w:rFonts w:ascii="Montserrat Light" w:hAnsi="Montserrat Light"/>
          <w:sz w:val="20"/>
          <w:szCs w:val="20"/>
        </w:rPr>
        <w:t>inco punto tres po</w:t>
      </w:r>
      <w:r w:rsidR="00375235" w:rsidRPr="00C4668F">
        <w:rPr>
          <w:rFonts w:ascii="Montserrat Light" w:hAnsi="Montserrat Light"/>
          <w:sz w:val="20"/>
          <w:szCs w:val="20"/>
        </w:rPr>
        <w:t>r ciento)</w:t>
      </w:r>
      <w:r w:rsidR="00375235">
        <w:rPr>
          <w:rFonts w:ascii="Montserrat Light" w:hAnsi="Montserrat Light"/>
          <w:sz w:val="20"/>
          <w:szCs w:val="20"/>
        </w:rPr>
        <w:t xml:space="preserve">, </w:t>
      </w:r>
      <w:r w:rsidRPr="00C4668F">
        <w:rPr>
          <w:rFonts w:ascii="Montserrat Light" w:hAnsi="Montserrat Light"/>
          <w:sz w:val="20"/>
          <w:szCs w:val="20"/>
        </w:rPr>
        <w:t>comunicaciones y transportes con 5.</w:t>
      </w:r>
      <w:r w:rsidR="00375235">
        <w:rPr>
          <w:rFonts w:ascii="Montserrat Light" w:hAnsi="Montserrat Light"/>
          <w:sz w:val="20"/>
          <w:szCs w:val="20"/>
        </w:rPr>
        <w:t>2</w:t>
      </w:r>
      <w:r w:rsidRPr="00C4668F">
        <w:rPr>
          <w:rFonts w:ascii="Montserrat Light" w:hAnsi="Montserrat Light"/>
          <w:sz w:val="20"/>
          <w:szCs w:val="20"/>
        </w:rPr>
        <w:t>%</w:t>
      </w:r>
      <w:r w:rsidR="004F21DB" w:rsidRPr="00C4668F">
        <w:rPr>
          <w:rFonts w:ascii="Montserrat Light" w:hAnsi="Montserrat Light"/>
          <w:sz w:val="20"/>
          <w:szCs w:val="20"/>
        </w:rPr>
        <w:t xml:space="preserve"> (cinco punto </w:t>
      </w:r>
      <w:r w:rsidR="00375235">
        <w:rPr>
          <w:rFonts w:ascii="Montserrat Light" w:hAnsi="Montserrat Light"/>
          <w:sz w:val="20"/>
          <w:szCs w:val="20"/>
        </w:rPr>
        <w:t>dos</w:t>
      </w:r>
      <w:r w:rsidR="004F21DB" w:rsidRPr="00C4668F">
        <w:rPr>
          <w:rFonts w:ascii="Montserrat Light" w:hAnsi="Montserrat Light"/>
          <w:sz w:val="20"/>
          <w:szCs w:val="20"/>
        </w:rPr>
        <w:t xml:space="preserve"> por ciento)</w:t>
      </w:r>
      <w:r w:rsidRPr="00C4668F">
        <w:rPr>
          <w:rFonts w:ascii="Montserrat Light" w:hAnsi="Montserrat Light"/>
          <w:sz w:val="20"/>
          <w:szCs w:val="20"/>
        </w:rPr>
        <w:t xml:space="preserve">, y </w:t>
      </w:r>
      <w:r w:rsidR="00002B9E" w:rsidRPr="00C4668F">
        <w:rPr>
          <w:rFonts w:ascii="Montserrat Light" w:hAnsi="Montserrat Light"/>
          <w:sz w:val="20"/>
          <w:szCs w:val="20"/>
        </w:rPr>
        <w:t>comercio</w:t>
      </w:r>
      <w:r w:rsidRPr="00C4668F">
        <w:rPr>
          <w:rFonts w:ascii="Montserrat Light" w:hAnsi="Montserrat Light"/>
          <w:sz w:val="20"/>
          <w:szCs w:val="20"/>
        </w:rPr>
        <w:t xml:space="preserve"> con 2.</w:t>
      </w:r>
      <w:r w:rsidR="00B46E27">
        <w:rPr>
          <w:rFonts w:ascii="Montserrat Light" w:hAnsi="Montserrat Light"/>
          <w:sz w:val="20"/>
          <w:szCs w:val="20"/>
        </w:rPr>
        <w:t>9</w:t>
      </w:r>
      <w:r w:rsidRPr="00C4668F">
        <w:rPr>
          <w:rFonts w:ascii="Montserrat Light" w:hAnsi="Montserrat Light"/>
          <w:sz w:val="20"/>
          <w:szCs w:val="20"/>
        </w:rPr>
        <w:t>%</w:t>
      </w:r>
      <w:r w:rsidR="004F21DB" w:rsidRPr="00C4668F">
        <w:rPr>
          <w:rFonts w:ascii="Montserrat Light" w:hAnsi="Montserrat Light"/>
          <w:sz w:val="20"/>
          <w:szCs w:val="20"/>
        </w:rPr>
        <w:t xml:space="preserve"> (dos punto </w:t>
      </w:r>
      <w:r w:rsidR="00B46E27">
        <w:rPr>
          <w:rFonts w:ascii="Montserrat Light" w:hAnsi="Montserrat Light"/>
          <w:sz w:val="20"/>
          <w:szCs w:val="20"/>
        </w:rPr>
        <w:t>nueve</w:t>
      </w:r>
      <w:r w:rsidR="004F21DB" w:rsidRPr="00C4668F">
        <w:rPr>
          <w:rFonts w:ascii="Montserrat Light" w:hAnsi="Montserrat Light"/>
          <w:sz w:val="20"/>
          <w:szCs w:val="20"/>
        </w:rPr>
        <w:t xml:space="preserve"> por ciento)</w:t>
      </w:r>
      <w:r w:rsidRPr="00C4668F">
        <w:rPr>
          <w:rFonts w:ascii="Montserrat Light" w:hAnsi="Montserrat Light"/>
          <w:sz w:val="20"/>
          <w:szCs w:val="20"/>
        </w:rPr>
        <w:t xml:space="preserve">. Los estados con mayor incremento anual de afiliación son </w:t>
      </w:r>
      <w:r w:rsidR="00B46E27" w:rsidRPr="00C4668F">
        <w:rPr>
          <w:rFonts w:ascii="Montserrat Light" w:hAnsi="Montserrat Light"/>
          <w:sz w:val="20"/>
          <w:szCs w:val="20"/>
        </w:rPr>
        <w:t>Nayarit</w:t>
      </w:r>
      <w:r w:rsidR="00B46E27">
        <w:rPr>
          <w:rFonts w:ascii="Montserrat Light" w:hAnsi="Montserrat Light"/>
          <w:sz w:val="20"/>
          <w:szCs w:val="20"/>
        </w:rPr>
        <w:t xml:space="preserve">, </w:t>
      </w:r>
      <w:r w:rsidR="00002B9E" w:rsidRPr="00C4668F">
        <w:rPr>
          <w:rFonts w:ascii="Montserrat Light" w:hAnsi="Montserrat Light"/>
          <w:sz w:val="20"/>
          <w:szCs w:val="20"/>
        </w:rPr>
        <w:t>Campeche</w:t>
      </w:r>
      <w:r w:rsidR="00A61765" w:rsidRPr="00C4668F">
        <w:rPr>
          <w:rFonts w:ascii="Montserrat Light" w:hAnsi="Montserrat Light"/>
          <w:sz w:val="20"/>
          <w:szCs w:val="20"/>
        </w:rPr>
        <w:t xml:space="preserve"> y Querétaro</w:t>
      </w:r>
      <w:r w:rsidRPr="00C4668F">
        <w:rPr>
          <w:rFonts w:ascii="Montserrat Light" w:hAnsi="Montserrat Light"/>
          <w:sz w:val="20"/>
          <w:szCs w:val="20"/>
        </w:rPr>
        <w:t xml:space="preserve">, </w:t>
      </w:r>
      <w:r w:rsidR="002145EE" w:rsidRPr="00C4668F">
        <w:rPr>
          <w:rFonts w:ascii="Montserrat Light" w:hAnsi="Montserrat Light"/>
          <w:sz w:val="20"/>
          <w:szCs w:val="20"/>
        </w:rPr>
        <w:t>superiores</w:t>
      </w:r>
      <w:r w:rsidR="00002B9E" w:rsidRPr="00C4668F">
        <w:rPr>
          <w:rFonts w:ascii="Montserrat Light" w:hAnsi="Montserrat Light"/>
          <w:sz w:val="20"/>
          <w:szCs w:val="20"/>
        </w:rPr>
        <w:t xml:space="preserve"> </w:t>
      </w:r>
      <w:r w:rsidR="002145EE" w:rsidRPr="00C4668F">
        <w:rPr>
          <w:rFonts w:ascii="Montserrat Light" w:hAnsi="Montserrat Light"/>
          <w:sz w:val="20"/>
          <w:szCs w:val="20"/>
        </w:rPr>
        <w:t>a</w:t>
      </w:r>
      <w:r w:rsidR="00002B9E" w:rsidRPr="00C4668F">
        <w:rPr>
          <w:rFonts w:ascii="Montserrat Light" w:hAnsi="Montserrat Light"/>
          <w:sz w:val="20"/>
          <w:szCs w:val="20"/>
        </w:rPr>
        <w:t xml:space="preserve"> </w:t>
      </w:r>
      <w:r w:rsidR="00B46E27">
        <w:rPr>
          <w:rFonts w:ascii="Montserrat Light" w:hAnsi="Montserrat Light"/>
          <w:sz w:val="20"/>
          <w:szCs w:val="20"/>
        </w:rPr>
        <w:t>5.5</w:t>
      </w:r>
      <w:r w:rsidRPr="00C4668F">
        <w:rPr>
          <w:rFonts w:ascii="Montserrat Light" w:hAnsi="Montserrat Light"/>
          <w:sz w:val="20"/>
          <w:szCs w:val="20"/>
        </w:rPr>
        <w:t>%</w:t>
      </w:r>
      <w:r w:rsidR="004F21DB" w:rsidRPr="00C4668F">
        <w:rPr>
          <w:rFonts w:ascii="Montserrat Light" w:hAnsi="Montserrat Light"/>
          <w:sz w:val="20"/>
          <w:szCs w:val="20"/>
        </w:rPr>
        <w:t xml:space="preserve"> (</w:t>
      </w:r>
      <w:r w:rsidR="00B46E27">
        <w:rPr>
          <w:rFonts w:ascii="Montserrat Light" w:hAnsi="Montserrat Light"/>
          <w:sz w:val="20"/>
          <w:szCs w:val="20"/>
        </w:rPr>
        <w:t>cinco pu</w:t>
      </w:r>
      <w:r w:rsidR="003B1750">
        <w:rPr>
          <w:rFonts w:ascii="Montserrat Light" w:hAnsi="Montserrat Light"/>
          <w:sz w:val="20"/>
          <w:szCs w:val="20"/>
        </w:rPr>
        <w:t>n</w:t>
      </w:r>
      <w:r w:rsidR="00B46E27">
        <w:rPr>
          <w:rFonts w:ascii="Montserrat Light" w:hAnsi="Montserrat Light"/>
          <w:sz w:val="20"/>
          <w:szCs w:val="20"/>
        </w:rPr>
        <w:t xml:space="preserve">to cinco </w:t>
      </w:r>
      <w:r w:rsidR="004F21DB" w:rsidRPr="00C4668F">
        <w:rPr>
          <w:rFonts w:ascii="Montserrat Light" w:hAnsi="Montserrat Light"/>
          <w:sz w:val="20"/>
          <w:szCs w:val="20"/>
        </w:rPr>
        <w:t>por ciento)</w:t>
      </w:r>
      <w:r w:rsidRPr="00C4668F">
        <w:rPr>
          <w:rFonts w:ascii="Montserrat Light" w:hAnsi="Montserrat Light"/>
          <w:sz w:val="20"/>
          <w:szCs w:val="20"/>
        </w:rPr>
        <w:t>.</w:t>
      </w:r>
    </w:p>
    <w:p w:rsidR="00631B71" w:rsidRPr="00C4668F" w:rsidRDefault="00631B71" w:rsidP="00631B71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  <w:r w:rsidRPr="00C4668F">
        <w:rPr>
          <w:rFonts w:ascii="Montserrat Light" w:hAnsi="Montserrat Light"/>
          <w:b/>
        </w:rPr>
        <w:t>SE REGISTRÓ UN SALARIO PROMEDIO DE $37</w:t>
      </w:r>
      <w:r w:rsidR="003B4334">
        <w:rPr>
          <w:rFonts w:ascii="Montserrat Light" w:hAnsi="Montserrat Light"/>
          <w:b/>
        </w:rPr>
        <w:t>3.2</w:t>
      </w:r>
    </w:p>
    <w:p w:rsidR="00631B71" w:rsidRPr="00C4668F" w:rsidRDefault="00631B71" w:rsidP="00631B71">
      <w:pPr>
        <w:numPr>
          <w:ilvl w:val="0"/>
          <w:numId w:val="2"/>
        </w:numPr>
        <w:spacing w:after="240"/>
        <w:ind w:left="284" w:right="-1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t>Al 3</w:t>
      </w:r>
      <w:r w:rsidR="003B4334">
        <w:rPr>
          <w:rFonts w:ascii="Montserrat Light" w:hAnsi="Montserrat Light"/>
          <w:sz w:val="20"/>
          <w:szCs w:val="20"/>
        </w:rPr>
        <w:t>1</w:t>
      </w:r>
      <w:r w:rsidRPr="00C4668F">
        <w:rPr>
          <w:rFonts w:ascii="Montserrat Light" w:hAnsi="Montserrat Light"/>
          <w:sz w:val="20"/>
          <w:szCs w:val="20"/>
        </w:rPr>
        <w:t xml:space="preserve"> de </w:t>
      </w:r>
      <w:r w:rsidR="003B4334">
        <w:rPr>
          <w:rFonts w:ascii="Montserrat Light" w:hAnsi="Montserrat Light"/>
          <w:sz w:val="20"/>
          <w:szCs w:val="20"/>
        </w:rPr>
        <w:t>octubre</w:t>
      </w:r>
      <w:r w:rsidRPr="00C4668F">
        <w:rPr>
          <w:rFonts w:ascii="Montserrat Light" w:hAnsi="Montserrat Light"/>
          <w:sz w:val="20"/>
          <w:szCs w:val="20"/>
        </w:rPr>
        <w:t xml:space="preserve"> de 2019 el salario base de cotización de trabajadores asegurados </w:t>
      </w:r>
      <w:r w:rsidR="00002B9E" w:rsidRPr="00C4668F">
        <w:rPr>
          <w:rFonts w:ascii="Montserrat Light" w:hAnsi="Montserrat Light"/>
          <w:sz w:val="20"/>
          <w:szCs w:val="20"/>
        </w:rPr>
        <w:t>al IMSS alcanzó un monto de $37</w:t>
      </w:r>
      <w:r w:rsidR="003B4334">
        <w:rPr>
          <w:rFonts w:ascii="Montserrat Light" w:hAnsi="Montserrat Light"/>
          <w:sz w:val="20"/>
          <w:szCs w:val="20"/>
        </w:rPr>
        <w:t xml:space="preserve">3.2 </w:t>
      </w:r>
      <w:r w:rsidR="004F21DB" w:rsidRPr="00C4668F">
        <w:rPr>
          <w:rFonts w:ascii="Montserrat Light" w:hAnsi="Montserrat Light"/>
          <w:sz w:val="20"/>
          <w:szCs w:val="20"/>
        </w:rPr>
        <w:t xml:space="preserve">(trescientos setenta y </w:t>
      </w:r>
      <w:r w:rsidR="003B4334">
        <w:rPr>
          <w:rFonts w:ascii="Montserrat Light" w:hAnsi="Montserrat Light"/>
          <w:sz w:val="20"/>
          <w:szCs w:val="20"/>
        </w:rPr>
        <w:t>tres</w:t>
      </w:r>
      <w:r w:rsidR="004F21DB" w:rsidRPr="00C4668F">
        <w:rPr>
          <w:rFonts w:ascii="Montserrat Light" w:hAnsi="Montserrat Light"/>
          <w:sz w:val="20"/>
          <w:szCs w:val="20"/>
        </w:rPr>
        <w:t xml:space="preserve"> punto </w:t>
      </w:r>
      <w:r w:rsidR="003B4334">
        <w:rPr>
          <w:rFonts w:ascii="Montserrat Light" w:hAnsi="Montserrat Light"/>
          <w:sz w:val="20"/>
          <w:szCs w:val="20"/>
        </w:rPr>
        <w:t>dos</w:t>
      </w:r>
      <w:r w:rsidR="004F21DB" w:rsidRPr="00C4668F">
        <w:rPr>
          <w:rFonts w:ascii="Montserrat Light" w:hAnsi="Montserrat Light"/>
          <w:sz w:val="20"/>
          <w:szCs w:val="20"/>
        </w:rPr>
        <w:t xml:space="preserve"> </w:t>
      </w:r>
      <w:r w:rsidR="003B4334">
        <w:rPr>
          <w:rFonts w:ascii="Montserrat Light" w:hAnsi="Montserrat Light"/>
          <w:sz w:val="20"/>
          <w:szCs w:val="20"/>
        </w:rPr>
        <w:t>pesos</w:t>
      </w:r>
      <w:r w:rsidR="004F21DB" w:rsidRPr="00C4668F">
        <w:rPr>
          <w:rFonts w:ascii="Montserrat Light" w:hAnsi="Montserrat Light"/>
          <w:sz w:val="20"/>
          <w:szCs w:val="20"/>
        </w:rPr>
        <w:t>)</w:t>
      </w:r>
      <w:r w:rsidR="002145EE" w:rsidRPr="00C4668F">
        <w:rPr>
          <w:rFonts w:ascii="Montserrat Light" w:hAnsi="Montserrat Light"/>
          <w:sz w:val="20"/>
          <w:szCs w:val="20"/>
        </w:rPr>
        <w:t>.</w:t>
      </w:r>
    </w:p>
    <w:p w:rsidR="00631B71" w:rsidRPr="00C4668F" w:rsidRDefault="007B3462" w:rsidP="009A6061">
      <w:pPr>
        <w:numPr>
          <w:ilvl w:val="0"/>
          <w:numId w:val="2"/>
        </w:numPr>
        <w:spacing w:after="240"/>
        <w:ind w:left="284" w:hanging="284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Este salario representa un </w:t>
      </w:r>
      <w:r w:rsidR="00631B71" w:rsidRPr="00C4668F">
        <w:rPr>
          <w:rFonts w:ascii="Montserrat Light" w:hAnsi="Montserrat Light"/>
          <w:sz w:val="20"/>
          <w:szCs w:val="20"/>
        </w:rPr>
        <w:t xml:space="preserve">incremento anual </w:t>
      </w:r>
      <w:r>
        <w:rPr>
          <w:rFonts w:ascii="Montserrat Light" w:hAnsi="Montserrat Light"/>
          <w:sz w:val="20"/>
          <w:szCs w:val="20"/>
        </w:rPr>
        <w:t>nominal de 6.4%</w:t>
      </w:r>
      <w:r w:rsidR="0054128D">
        <w:rPr>
          <w:rFonts w:ascii="Montserrat Light" w:hAnsi="Montserrat Light"/>
          <w:sz w:val="20"/>
          <w:szCs w:val="20"/>
        </w:rPr>
        <w:t xml:space="preserve"> (seis punto cuatro por ciento)</w:t>
      </w:r>
      <w:r>
        <w:rPr>
          <w:rFonts w:ascii="Montserrat Light" w:hAnsi="Montserrat Light"/>
          <w:sz w:val="20"/>
          <w:szCs w:val="20"/>
        </w:rPr>
        <w:t xml:space="preserve">, que </w:t>
      </w:r>
      <w:r w:rsidR="00631B71" w:rsidRPr="00C4668F">
        <w:rPr>
          <w:rFonts w:ascii="Montserrat Light" w:hAnsi="Montserrat Light"/>
          <w:sz w:val="20"/>
          <w:szCs w:val="20"/>
        </w:rPr>
        <w:t xml:space="preserve">es el más alto registrado para un mes de </w:t>
      </w:r>
      <w:r>
        <w:rPr>
          <w:rFonts w:ascii="Montserrat Light" w:hAnsi="Montserrat Light"/>
          <w:sz w:val="20"/>
          <w:szCs w:val="20"/>
        </w:rPr>
        <w:t>octu</w:t>
      </w:r>
      <w:r w:rsidR="004F428D" w:rsidRPr="00C4668F">
        <w:rPr>
          <w:rFonts w:ascii="Montserrat Light" w:hAnsi="Montserrat Light"/>
          <w:sz w:val="20"/>
          <w:szCs w:val="20"/>
        </w:rPr>
        <w:t>bre</w:t>
      </w:r>
      <w:r w:rsidR="00631B71" w:rsidRPr="00C4668F">
        <w:rPr>
          <w:rFonts w:ascii="Montserrat Light" w:hAnsi="Montserrat Light"/>
          <w:sz w:val="20"/>
          <w:szCs w:val="20"/>
        </w:rPr>
        <w:t xml:space="preserve"> de los últimos diez años y, por </w:t>
      </w:r>
      <w:r>
        <w:rPr>
          <w:rFonts w:ascii="Montserrat Light" w:hAnsi="Montserrat Light"/>
          <w:sz w:val="20"/>
          <w:szCs w:val="20"/>
        </w:rPr>
        <w:t>décimo</w:t>
      </w:r>
      <w:r w:rsidR="00631B71" w:rsidRPr="00C4668F">
        <w:rPr>
          <w:rFonts w:ascii="Montserrat Light" w:hAnsi="Montserrat Light"/>
          <w:sz w:val="20"/>
          <w:szCs w:val="20"/>
        </w:rPr>
        <w:t xml:space="preserve"> mes consecutivo, el salario base de cotización registra crecimientos anuales nominales superiores al 6.0%</w:t>
      </w:r>
      <w:r w:rsidR="00C4668F" w:rsidRPr="00C4668F">
        <w:rPr>
          <w:rFonts w:ascii="Montserrat Light" w:hAnsi="Montserrat Light"/>
          <w:sz w:val="20"/>
          <w:szCs w:val="20"/>
        </w:rPr>
        <w:t xml:space="preserve"> (seis punto cero por ciento)</w:t>
      </w:r>
      <w:r w:rsidR="00707DF4" w:rsidRPr="00C4668F">
        <w:rPr>
          <w:rFonts w:ascii="Montserrat Light" w:hAnsi="Montserrat Light"/>
          <w:sz w:val="20"/>
          <w:szCs w:val="20"/>
        </w:rPr>
        <w:t>.</w:t>
      </w:r>
    </w:p>
    <w:p w:rsidR="00C4668F" w:rsidRDefault="00C4668F" w:rsidP="00631B71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</w:p>
    <w:p w:rsidR="003016CA" w:rsidRDefault="003016CA" w:rsidP="00631B71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</w:p>
    <w:p w:rsidR="00631B71" w:rsidRPr="00C4668F" w:rsidRDefault="00631B71" w:rsidP="00631B71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  <w:r w:rsidRPr="00C4668F">
        <w:rPr>
          <w:rFonts w:ascii="Montserrat Light" w:hAnsi="Montserrat Light"/>
          <w:b/>
        </w:rPr>
        <w:t xml:space="preserve">EN </w:t>
      </w:r>
      <w:r w:rsidR="007B06CD">
        <w:rPr>
          <w:rFonts w:ascii="Montserrat Light" w:hAnsi="Montserrat Light"/>
          <w:b/>
        </w:rPr>
        <w:t>OCTUBRE SE REBASA LA AFILIACIÓN DE UN MILLÓN DE PATRONES</w:t>
      </w:r>
    </w:p>
    <w:p w:rsidR="00631B71" w:rsidRPr="00C4668F" w:rsidRDefault="00631B71" w:rsidP="009A6061">
      <w:pPr>
        <w:numPr>
          <w:ilvl w:val="0"/>
          <w:numId w:val="2"/>
        </w:numPr>
        <w:spacing w:after="24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C4668F">
        <w:rPr>
          <w:rFonts w:ascii="Montserrat Light" w:hAnsi="Montserrat Light"/>
          <w:sz w:val="20"/>
          <w:szCs w:val="20"/>
        </w:rPr>
        <w:lastRenderedPageBreak/>
        <w:t>Al 3</w:t>
      </w:r>
      <w:r w:rsidR="007B06CD">
        <w:rPr>
          <w:rFonts w:ascii="Montserrat Light" w:hAnsi="Montserrat Light"/>
          <w:sz w:val="20"/>
          <w:szCs w:val="20"/>
        </w:rPr>
        <w:t>1</w:t>
      </w:r>
      <w:r w:rsidRPr="00C4668F">
        <w:rPr>
          <w:rFonts w:ascii="Montserrat Light" w:hAnsi="Montserrat Light"/>
          <w:sz w:val="20"/>
          <w:szCs w:val="20"/>
        </w:rPr>
        <w:t xml:space="preserve"> de </w:t>
      </w:r>
      <w:r w:rsidR="007B06CD">
        <w:rPr>
          <w:rFonts w:ascii="Montserrat Light" w:hAnsi="Montserrat Light"/>
          <w:sz w:val="20"/>
          <w:szCs w:val="20"/>
        </w:rPr>
        <w:t xml:space="preserve">octubre </w:t>
      </w:r>
      <w:r w:rsidRPr="00C4668F">
        <w:rPr>
          <w:rFonts w:ascii="Montserrat Light" w:hAnsi="Montserrat Light"/>
          <w:sz w:val="20"/>
          <w:szCs w:val="20"/>
        </w:rPr>
        <w:t xml:space="preserve">de 2019, se tienen registrados ante el Instituto </w:t>
      </w:r>
      <w:r w:rsidR="007B06CD">
        <w:rPr>
          <w:rFonts w:ascii="Montserrat Light" w:hAnsi="Montserrat Light"/>
          <w:sz w:val="20"/>
          <w:szCs w:val="20"/>
        </w:rPr>
        <w:t>1,00</w:t>
      </w:r>
      <w:r w:rsidR="00137247">
        <w:rPr>
          <w:rFonts w:ascii="Montserrat Light" w:hAnsi="Montserrat Light"/>
          <w:sz w:val="20"/>
          <w:szCs w:val="20"/>
        </w:rPr>
        <w:t>3</w:t>
      </w:r>
      <w:r w:rsidR="007B06CD">
        <w:rPr>
          <w:rFonts w:ascii="Montserrat Light" w:hAnsi="Montserrat Light"/>
          <w:sz w:val="20"/>
          <w:szCs w:val="20"/>
        </w:rPr>
        <w:t>,046</w:t>
      </w:r>
      <w:r w:rsidR="00707DF4" w:rsidRPr="00C4668F">
        <w:rPr>
          <w:rFonts w:ascii="Montserrat Light" w:hAnsi="Montserrat Light"/>
          <w:sz w:val="20"/>
          <w:szCs w:val="20"/>
        </w:rPr>
        <w:t xml:space="preserve"> </w:t>
      </w:r>
      <w:r w:rsidR="007B06CD" w:rsidRPr="00C4668F">
        <w:rPr>
          <w:rFonts w:ascii="Montserrat Light" w:hAnsi="Montserrat Light"/>
          <w:sz w:val="20"/>
          <w:szCs w:val="20"/>
        </w:rPr>
        <w:t>(</w:t>
      </w:r>
      <w:r w:rsidR="007B06CD">
        <w:rPr>
          <w:rFonts w:ascii="Montserrat Light" w:hAnsi="Montserrat Light"/>
          <w:sz w:val="20"/>
          <w:szCs w:val="20"/>
        </w:rPr>
        <w:t xml:space="preserve">un millón </w:t>
      </w:r>
      <w:r w:rsidR="00137247">
        <w:rPr>
          <w:rFonts w:ascii="Montserrat Light" w:hAnsi="Montserrat Light"/>
          <w:sz w:val="20"/>
          <w:szCs w:val="20"/>
        </w:rPr>
        <w:t xml:space="preserve">tres mil </w:t>
      </w:r>
      <w:r w:rsidR="007B06CD">
        <w:rPr>
          <w:rFonts w:ascii="Montserrat Light" w:hAnsi="Montserrat Light"/>
          <w:sz w:val="20"/>
          <w:szCs w:val="20"/>
        </w:rPr>
        <w:t>cuarenta y seis) patr</w:t>
      </w:r>
      <w:r w:rsidRPr="00C4668F">
        <w:rPr>
          <w:rFonts w:ascii="Montserrat Light" w:hAnsi="Montserrat Light"/>
          <w:sz w:val="20"/>
          <w:szCs w:val="20"/>
        </w:rPr>
        <w:t>ones, equivalente a un crecimiento anual de 2.</w:t>
      </w:r>
      <w:r w:rsidR="007B06CD">
        <w:rPr>
          <w:rFonts w:ascii="Montserrat Light" w:hAnsi="Montserrat Light"/>
          <w:sz w:val="20"/>
          <w:szCs w:val="20"/>
        </w:rPr>
        <w:t>2</w:t>
      </w:r>
      <w:r w:rsidRPr="00C4668F">
        <w:rPr>
          <w:rFonts w:ascii="Montserrat Light" w:hAnsi="Montserrat Light"/>
          <w:sz w:val="20"/>
          <w:szCs w:val="20"/>
        </w:rPr>
        <w:t>%</w:t>
      </w:r>
      <w:r w:rsidR="00C4668F" w:rsidRPr="00C4668F">
        <w:rPr>
          <w:rFonts w:ascii="Montserrat Light" w:hAnsi="Montserrat Light"/>
          <w:sz w:val="20"/>
          <w:szCs w:val="20"/>
        </w:rPr>
        <w:t xml:space="preserve"> (dos punto dos por ciento)</w:t>
      </w:r>
      <w:r w:rsidR="00707DF4" w:rsidRPr="00C4668F">
        <w:rPr>
          <w:rFonts w:ascii="Montserrat Light" w:hAnsi="Montserrat Light"/>
          <w:sz w:val="20"/>
          <w:szCs w:val="20"/>
        </w:rPr>
        <w:t>.</w:t>
      </w:r>
      <w:r w:rsidRPr="00C4668F">
        <w:rPr>
          <w:rFonts w:ascii="Montserrat Light" w:hAnsi="Montserrat Light"/>
          <w:sz w:val="20"/>
          <w:szCs w:val="20"/>
        </w:rPr>
        <w:t xml:space="preserve"> Con este registro, </w:t>
      </w:r>
      <w:r w:rsidR="004F428D" w:rsidRPr="00C4668F">
        <w:rPr>
          <w:rFonts w:ascii="Montserrat Light" w:hAnsi="Montserrat Light"/>
          <w:sz w:val="20"/>
          <w:szCs w:val="20"/>
        </w:rPr>
        <w:t xml:space="preserve">la </w:t>
      </w:r>
      <w:r w:rsidR="007B06CD">
        <w:rPr>
          <w:rFonts w:ascii="Montserrat Light" w:hAnsi="Montserrat Light"/>
          <w:sz w:val="20"/>
          <w:szCs w:val="20"/>
        </w:rPr>
        <w:t xml:space="preserve">variación mensual de octubre </w:t>
      </w:r>
      <w:r w:rsidRPr="00C4668F">
        <w:rPr>
          <w:rFonts w:ascii="Montserrat Light" w:hAnsi="Montserrat Light"/>
          <w:sz w:val="20"/>
          <w:szCs w:val="20"/>
        </w:rPr>
        <w:t>de</w:t>
      </w:r>
      <w:r w:rsidR="004F428D" w:rsidRPr="00C4668F">
        <w:rPr>
          <w:rFonts w:ascii="Montserrat Light" w:hAnsi="Montserrat Light"/>
          <w:sz w:val="20"/>
          <w:szCs w:val="20"/>
        </w:rPr>
        <w:t>l año en curso</w:t>
      </w:r>
      <w:r w:rsidRPr="00C4668F">
        <w:rPr>
          <w:rFonts w:ascii="Montserrat Light" w:hAnsi="Montserrat Light"/>
          <w:sz w:val="20"/>
          <w:szCs w:val="20"/>
        </w:rPr>
        <w:t xml:space="preserve"> es de </w:t>
      </w:r>
      <w:r w:rsidR="007B06CD">
        <w:rPr>
          <w:rFonts w:ascii="Montserrat Light" w:hAnsi="Montserrat Light"/>
          <w:sz w:val="20"/>
          <w:szCs w:val="20"/>
        </w:rPr>
        <w:t>4,788</w:t>
      </w:r>
      <w:r w:rsidRPr="00C4668F">
        <w:rPr>
          <w:rFonts w:ascii="Montserrat Light" w:hAnsi="Montserrat Light"/>
          <w:sz w:val="20"/>
          <w:szCs w:val="20"/>
        </w:rPr>
        <w:t xml:space="preserve"> </w:t>
      </w:r>
      <w:r w:rsidR="00C4668F" w:rsidRPr="00C4668F">
        <w:rPr>
          <w:rFonts w:ascii="Montserrat Light" w:hAnsi="Montserrat Light"/>
          <w:sz w:val="20"/>
          <w:szCs w:val="20"/>
        </w:rPr>
        <w:t>(</w:t>
      </w:r>
      <w:r w:rsidR="007B06CD">
        <w:rPr>
          <w:rFonts w:ascii="Montserrat Light" w:hAnsi="Montserrat Light"/>
          <w:sz w:val="20"/>
          <w:szCs w:val="20"/>
        </w:rPr>
        <w:t xml:space="preserve">cuatro </w:t>
      </w:r>
      <w:r w:rsidR="00C4668F" w:rsidRPr="00C4668F">
        <w:rPr>
          <w:rFonts w:ascii="Montserrat Light" w:hAnsi="Montserrat Light"/>
          <w:sz w:val="20"/>
          <w:szCs w:val="20"/>
        </w:rPr>
        <w:t xml:space="preserve">mil </w:t>
      </w:r>
      <w:r w:rsidR="007B06CD">
        <w:rPr>
          <w:rFonts w:ascii="Montserrat Light" w:hAnsi="Montserrat Light"/>
          <w:sz w:val="20"/>
          <w:szCs w:val="20"/>
        </w:rPr>
        <w:t>setecientos ochenta y ocho</w:t>
      </w:r>
      <w:r w:rsidR="00C4668F" w:rsidRPr="00C4668F">
        <w:rPr>
          <w:rFonts w:ascii="Montserrat Light" w:hAnsi="Montserrat Light"/>
          <w:sz w:val="20"/>
          <w:szCs w:val="20"/>
        </w:rPr>
        <w:t xml:space="preserve">) </w:t>
      </w:r>
      <w:r w:rsidRPr="00C4668F">
        <w:rPr>
          <w:rFonts w:ascii="Montserrat Light" w:hAnsi="Montserrat Light"/>
          <w:sz w:val="20"/>
          <w:szCs w:val="20"/>
        </w:rPr>
        <w:t xml:space="preserve">patrones y en lo que va del año se han registrado </w:t>
      </w:r>
      <w:r w:rsidR="007B06CD">
        <w:rPr>
          <w:rFonts w:ascii="Montserrat Light" w:hAnsi="Montserrat Light"/>
          <w:sz w:val="20"/>
          <w:szCs w:val="20"/>
        </w:rPr>
        <w:t>24,769</w:t>
      </w:r>
      <w:r w:rsidR="00C4668F" w:rsidRPr="00C4668F">
        <w:rPr>
          <w:rFonts w:ascii="Montserrat Light" w:hAnsi="Montserrat Light"/>
          <w:sz w:val="20"/>
          <w:szCs w:val="20"/>
        </w:rPr>
        <w:t xml:space="preserve"> (</w:t>
      </w:r>
      <w:r w:rsidR="007B06CD">
        <w:rPr>
          <w:rFonts w:ascii="Montserrat Light" w:hAnsi="Montserrat Light"/>
          <w:sz w:val="20"/>
          <w:szCs w:val="20"/>
        </w:rPr>
        <w:t>veinticuatro mil setecientos sesenta y nueve</w:t>
      </w:r>
      <w:r w:rsidR="00C4668F" w:rsidRPr="00C4668F">
        <w:rPr>
          <w:rFonts w:ascii="Montserrat Light" w:hAnsi="Montserrat Light"/>
          <w:sz w:val="20"/>
          <w:szCs w:val="20"/>
        </w:rPr>
        <w:t>)</w:t>
      </w:r>
      <w:r w:rsidR="00707DF4" w:rsidRPr="00C4668F">
        <w:rPr>
          <w:rFonts w:ascii="Montserrat Light" w:hAnsi="Montserrat Light"/>
          <w:sz w:val="20"/>
          <w:szCs w:val="20"/>
        </w:rPr>
        <w:t xml:space="preserve"> </w:t>
      </w:r>
      <w:r w:rsidRPr="00C4668F">
        <w:rPr>
          <w:rFonts w:ascii="Montserrat Light" w:hAnsi="Montserrat Light"/>
          <w:sz w:val="20"/>
          <w:szCs w:val="20"/>
        </w:rPr>
        <w:t>nuevos patrones.</w:t>
      </w:r>
    </w:p>
    <w:p w:rsidR="00631B71" w:rsidRPr="00316894" w:rsidRDefault="00631B71" w:rsidP="00631B71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  <w:r w:rsidRPr="009A6061">
        <w:rPr>
          <w:rFonts w:ascii="Montserrat Light" w:hAnsi="Montserrat Light"/>
          <w:b/>
        </w:rPr>
        <w:t xml:space="preserve">ADICIONALMENTE, EL IMSS PROPORCIONA SEGURIDAD SOCIAL A MÁS DE </w:t>
      </w:r>
      <w:r w:rsidR="003F5E98" w:rsidRPr="009A6061">
        <w:rPr>
          <w:rFonts w:ascii="Montserrat Light" w:hAnsi="Montserrat Light"/>
          <w:b/>
        </w:rPr>
        <w:t>1.2</w:t>
      </w:r>
      <w:r w:rsidRPr="009A6061">
        <w:rPr>
          <w:rFonts w:ascii="Montserrat Light" w:hAnsi="Montserrat Light"/>
          <w:b/>
        </w:rPr>
        <w:t xml:space="preserve"> </w:t>
      </w:r>
      <w:r w:rsidRPr="00316894">
        <w:rPr>
          <w:rFonts w:ascii="Montserrat Light" w:hAnsi="Montserrat Light"/>
          <w:b/>
        </w:rPr>
        <w:t>MILLONES DE PERSONAS EN OTRAS MODALIDADES DE OCUPACIÓN</w:t>
      </w:r>
    </w:p>
    <w:p w:rsidR="00631B71" w:rsidRPr="00316894" w:rsidRDefault="002145EE" w:rsidP="002F6019">
      <w:pPr>
        <w:numPr>
          <w:ilvl w:val="0"/>
          <w:numId w:val="2"/>
        </w:numPr>
        <w:spacing w:after="160"/>
        <w:ind w:left="284"/>
        <w:jc w:val="both"/>
        <w:rPr>
          <w:rFonts w:ascii="Montserrat Light" w:hAnsi="Montserrat Light"/>
          <w:sz w:val="20"/>
          <w:szCs w:val="20"/>
        </w:rPr>
      </w:pPr>
      <w:r w:rsidRPr="00316894">
        <w:rPr>
          <w:rFonts w:ascii="Montserrat Light" w:hAnsi="Montserrat Light"/>
          <w:sz w:val="20"/>
          <w:szCs w:val="20"/>
        </w:rPr>
        <w:t>Al 3</w:t>
      </w:r>
      <w:r w:rsidR="00137247" w:rsidRPr="00316894">
        <w:rPr>
          <w:rFonts w:ascii="Montserrat Light" w:hAnsi="Montserrat Light"/>
          <w:sz w:val="20"/>
          <w:szCs w:val="20"/>
        </w:rPr>
        <w:t>1</w:t>
      </w:r>
      <w:r w:rsidRPr="00316894">
        <w:rPr>
          <w:rFonts w:ascii="Montserrat Light" w:hAnsi="Montserrat Light"/>
          <w:sz w:val="20"/>
          <w:szCs w:val="20"/>
        </w:rPr>
        <w:t xml:space="preserve"> de </w:t>
      </w:r>
      <w:r w:rsidR="00137247" w:rsidRPr="00316894">
        <w:rPr>
          <w:rFonts w:ascii="Montserrat Light" w:hAnsi="Montserrat Light"/>
          <w:sz w:val="20"/>
          <w:szCs w:val="20"/>
        </w:rPr>
        <w:t>octubre</w:t>
      </w:r>
      <w:r w:rsidRPr="00316894">
        <w:rPr>
          <w:rFonts w:ascii="Montserrat Light" w:hAnsi="Montserrat Light"/>
          <w:sz w:val="20"/>
          <w:szCs w:val="20"/>
        </w:rPr>
        <w:t xml:space="preserve">, </w:t>
      </w:r>
      <w:r w:rsidR="003F5E98" w:rsidRPr="00316894">
        <w:rPr>
          <w:rFonts w:ascii="Montserrat Light" w:hAnsi="Montserrat Light"/>
          <w:sz w:val="20"/>
          <w:szCs w:val="20"/>
        </w:rPr>
        <w:t>7</w:t>
      </w:r>
      <w:r w:rsidR="00137247" w:rsidRPr="00316894">
        <w:rPr>
          <w:rFonts w:ascii="Montserrat Light" w:hAnsi="Montserrat Light"/>
          <w:sz w:val="20"/>
          <w:szCs w:val="20"/>
        </w:rPr>
        <w:t>82,200</w:t>
      </w:r>
      <w:r w:rsidR="00707DF4" w:rsidRPr="00316894">
        <w:rPr>
          <w:rFonts w:ascii="Montserrat Light" w:hAnsi="Montserrat Light"/>
          <w:sz w:val="20"/>
          <w:szCs w:val="20"/>
        </w:rPr>
        <w:t xml:space="preserve"> </w:t>
      </w:r>
      <w:r w:rsidR="00C4668F" w:rsidRPr="00316894">
        <w:rPr>
          <w:rFonts w:ascii="Montserrat Light" w:hAnsi="Montserrat Light"/>
          <w:sz w:val="20"/>
          <w:szCs w:val="20"/>
        </w:rPr>
        <w:t xml:space="preserve">(setecientas </w:t>
      </w:r>
      <w:r w:rsidR="00137247" w:rsidRPr="00316894">
        <w:rPr>
          <w:rFonts w:ascii="Montserrat Light" w:hAnsi="Montserrat Light"/>
          <w:sz w:val="20"/>
          <w:szCs w:val="20"/>
        </w:rPr>
        <w:t>ochenta y dos</w:t>
      </w:r>
      <w:r w:rsidR="00C4668F" w:rsidRPr="00316894">
        <w:rPr>
          <w:rFonts w:ascii="Montserrat Light" w:hAnsi="Montserrat Light"/>
          <w:sz w:val="20"/>
          <w:szCs w:val="20"/>
        </w:rPr>
        <w:t xml:space="preserve"> mil </w:t>
      </w:r>
      <w:r w:rsidR="00137247" w:rsidRPr="00316894">
        <w:rPr>
          <w:rFonts w:ascii="Montserrat Light" w:hAnsi="Montserrat Light"/>
          <w:sz w:val="20"/>
          <w:szCs w:val="20"/>
        </w:rPr>
        <w:t>doscientas</w:t>
      </w:r>
      <w:r w:rsidR="00C4668F" w:rsidRPr="00316894">
        <w:rPr>
          <w:rFonts w:ascii="Montserrat Light" w:hAnsi="Montserrat Light"/>
          <w:sz w:val="20"/>
          <w:szCs w:val="20"/>
        </w:rPr>
        <w:t xml:space="preserve">) </w:t>
      </w:r>
      <w:r w:rsidR="002F6019" w:rsidRPr="00316894">
        <w:rPr>
          <w:rFonts w:ascii="Montserrat Light" w:hAnsi="Montserrat Light"/>
          <w:sz w:val="20"/>
          <w:szCs w:val="20"/>
        </w:rPr>
        <w:t xml:space="preserve">personas vinculadas al Programa Jóvenes Construyendo el Futuro </w:t>
      </w:r>
      <w:r w:rsidR="00631B71" w:rsidRPr="00316894">
        <w:rPr>
          <w:rFonts w:ascii="Montserrat Light" w:hAnsi="Montserrat Light"/>
          <w:sz w:val="20"/>
          <w:szCs w:val="20"/>
        </w:rPr>
        <w:t>ya cuentan con servicio m</w:t>
      </w:r>
      <w:r w:rsidR="000A74B0" w:rsidRPr="00316894">
        <w:rPr>
          <w:rFonts w:ascii="Montserrat Light" w:hAnsi="Montserrat Light"/>
          <w:sz w:val="20"/>
          <w:szCs w:val="20"/>
        </w:rPr>
        <w:t>édico en el IMSS</w:t>
      </w:r>
      <w:r w:rsidR="00631B71" w:rsidRPr="00316894">
        <w:rPr>
          <w:rFonts w:ascii="Montserrat Light" w:hAnsi="Montserrat Light"/>
          <w:sz w:val="20"/>
          <w:szCs w:val="20"/>
        </w:rPr>
        <w:t>.</w:t>
      </w:r>
    </w:p>
    <w:p w:rsidR="00631B71" w:rsidRPr="009F744B" w:rsidRDefault="00316894" w:rsidP="00631B71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316894">
        <w:rPr>
          <w:rFonts w:ascii="Montserrat Light" w:hAnsi="Montserrat Light"/>
          <w:sz w:val="20"/>
          <w:szCs w:val="20"/>
        </w:rPr>
        <w:t>250</w:t>
      </w:r>
      <w:r w:rsidR="003C3E5D" w:rsidRPr="00316894">
        <w:rPr>
          <w:rFonts w:ascii="Montserrat Light" w:hAnsi="Montserrat Light"/>
          <w:sz w:val="20"/>
          <w:szCs w:val="20"/>
        </w:rPr>
        <w:t>,</w:t>
      </w:r>
      <w:r w:rsidRPr="00316894">
        <w:rPr>
          <w:rFonts w:ascii="Montserrat Light" w:hAnsi="Montserrat Light"/>
          <w:sz w:val="20"/>
          <w:szCs w:val="20"/>
        </w:rPr>
        <w:t>503</w:t>
      </w:r>
      <w:r w:rsidR="00631B71" w:rsidRPr="00316894">
        <w:rPr>
          <w:rFonts w:ascii="Montserrat Light" w:hAnsi="Montserrat Light"/>
          <w:sz w:val="20"/>
          <w:szCs w:val="20"/>
        </w:rPr>
        <w:t xml:space="preserve"> </w:t>
      </w:r>
      <w:r w:rsidR="00C4668F" w:rsidRPr="00316894">
        <w:rPr>
          <w:rFonts w:ascii="Montserrat Light" w:hAnsi="Montserrat Light"/>
          <w:sz w:val="20"/>
          <w:szCs w:val="20"/>
        </w:rPr>
        <w:t xml:space="preserve">(doscientos cincuenta mil </w:t>
      </w:r>
      <w:r w:rsidRPr="00316894">
        <w:rPr>
          <w:rFonts w:ascii="Montserrat Light" w:hAnsi="Montserrat Light"/>
          <w:sz w:val="20"/>
          <w:szCs w:val="20"/>
        </w:rPr>
        <w:t>quinientos</w:t>
      </w:r>
      <w:r w:rsidR="00C4668F" w:rsidRPr="00316894">
        <w:rPr>
          <w:rFonts w:ascii="Montserrat Light" w:hAnsi="Montserrat Light"/>
          <w:sz w:val="20"/>
          <w:szCs w:val="20"/>
        </w:rPr>
        <w:t xml:space="preserve"> </w:t>
      </w:r>
      <w:r w:rsidRPr="00316894">
        <w:rPr>
          <w:rFonts w:ascii="Montserrat Light" w:hAnsi="Montserrat Light"/>
          <w:sz w:val="20"/>
          <w:szCs w:val="20"/>
        </w:rPr>
        <w:t>tres</w:t>
      </w:r>
      <w:r w:rsidR="00C4668F" w:rsidRPr="00316894">
        <w:rPr>
          <w:rFonts w:ascii="Montserrat Light" w:hAnsi="Montserrat Light"/>
          <w:sz w:val="20"/>
          <w:szCs w:val="20"/>
        </w:rPr>
        <w:t xml:space="preserve">) </w:t>
      </w:r>
      <w:r w:rsidR="00631B71" w:rsidRPr="00316894">
        <w:rPr>
          <w:rFonts w:ascii="Montserrat Light" w:hAnsi="Montserrat Light"/>
          <w:sz w:val="20"/>
          <w:szCs w:val="20"/>
        </w:rPr>
        <w:t>asegurados en el Seguro de Salud para la Familia</w:t>
      </w:r>
      <w:r w:rsidR="00360D51">
        <w:rPr>
          <w:rFonts w:ascii="Montserrat Light" w:hAnsi="Montserrat Light"/>
          <w:sz w:val="20"/>
          <w:szCs w:val="20"/>
        </w:rPr>
        <w:t>,</w:t>
      </w:r>
      <w:r w:rsidR="00631B71" w:rsidRPr="00316894">
        <w:rPr>
          <w:rFonts w:ascii="Montserrat Light" w:hAnsi="Montserrat Light"/>
          <w:sz w:val="20"/>
          <w:szCs w:val="20"/>
        </w:rPr>
        <w:t xml:space="preserve"> a través del cual se brinda atención médica a personas que se </w:t>
      </w:r>
      <w:r w:rsidR="00631B71" w:rsidRPr="009F744B">
        <w:rPr>
          <w:rFonts w:ascii="Montserrat Light" w:hAnsi="Montserrat Light"/>
          <w:sz w:val="20"/>
          <w:szCs w:val="20"/>
        </w:rPr>
        <w:t>incorporan voluntariamente al IMSS.</w:t>
      </w:r>
    </w:p>
    <w:p w:rsidR="00631B71" w:rsidRPr="009F744B" w:rsidRDefault="003C3E5D" w:rsidP="002F6019">
      <w:pPr>
        <w:numPr>
          <w:ilvl w:val="0"/>
          <w:numId w:val="2"/>
        </w:numPr>
        <w:spacing w:after="24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9F744B">
        <w:rPr>
          <w:rFonts w:ascii="Montserrat Light" w:hAnsi="Montserrat Light"/>
          <w:sz w:val="20"/>
          <w:szCs w:val="20"/>
        </w:rPr>
        <w:t>1</w:t>
      </w:r>
      <w:r w:rsidR="009F744B" w:rsidRPr="009F744B">
        <w:rPr>
          <w:rFonts w:ascii="Montserrat Light" w:hAnsi="Montserrat Light"/>
          <w:sz w:val="20"/>
          <w:szCs w:val="20"/>
        </w:rPr>
        <w:t>90,166</w:t>
      </w:r>
      <w:r w:rsidR="00631B71" w:rsidRPr="009F744B">
        <w:rPr>
          <w:rFonts w:ascii="Montserrat Light" w:hAnsi="Montserrat Light"/>
          <w:sz w:val="20"/>
          <w:szCs w:val="20"/>
        </w:rPr>
        <w:t xml:space="preserve"> </w:t>
      </w:r>
      <w:r w:rsidR="00C4668F" w:rsidRPr="009F744B">
        <w:rPr>
          <w:rFonts w:ascii="Montserrat Light" w:hAnsi="Montserrat Light"/>
          <w:sz w:val="20"/>
          <w:szCs w:val="20"/>
        </w:rPr>
        <w:t xml:space="preserve">(ciento </w:t>
      </w:r>
      <w:r w:rsidR="009F744B" w:rsidRPr="009F744B">
        <w:rPr>
          <w:rFonts w:ascii="Montserrat Light" w:hAnsi="Montserrat Light"/>
          <w:sz w:val="20"/>
          <w:szCs w:val="20"/>
        </w:rPr>
        <w:t>noventa</w:t>
      </w:r>
      <w:r w:rsidR="00C4668F" w:rsidRPr="009F744B">
        <w:rPr>
          <w:rFonts w:ascii="Montserrat Light" w:hAnsi="Montserrat Light"/>
          <w:sz w:val="20"/>
          <w:szCs w:val="20"/>
        </w:rPr>
        <w:t xml:space="preserve"> mil </w:t>
      </w:r>
      <w:r w:rsidR="009F744B" w:rsidRPr="009F744B">
        <w:rPr>
          <w:rFonts w:ascii="Montserrat Light" w:hAnsi="Montserrat Light"/>
          <w:sz w:val="20"/>
          <w:szCs w:val="20"/>
        </w:rPr>
        <w:t>ciento sesenta y seis</w:t>
      </w:r>
      <w:r w:rsidR="00C4668F" w:rsidRPr="009F744B">
        <w:rPr>
          <w:rFonts w:ascii="Montserrat Light" w:hAnsi="Montserrat Light"/>
          <w:sz w:val="20"/>
          <w:szCs w:val="20"/>
        </w:rPr>
        <w:t xml:space="preserve">) </w:t>
      </w:r>
      <w:r w:rsidR="00631B71" w:rsidRPr="009F744B">
        <w:rPr>
          <w:rFonts w:ascii="Montserrat Light" w:hAnsi="Montserrat Light"/>
          <w:sz w:val="20"/>
          <w:szCs w:val="20"/>
        </w:rPr>
        <w:t>asegurados en la Continuación Voluntaria del Régimen Obligatorio.</w:t>
      </w:r>
    </w:p>
    <w:p w:rsidR="00631B71" w:rsidRPr="00796A73" w:rsidRDefault="00796A73" w:rsidP="002F6019">
      <w:pPr>
        <w:tabs>
          <w:tab w:val="left" w:pos="4485"/>
        </w:tabs>
        <w:spacing w:after="240"/>
        <w:jc w:val="center"/>
        <w:rPr>
          <w:rFonts w:ascii="Montserrat Light" w:hAnsi="Montserrat Light"/>
          <w:b/>
        </w:rPr>
      </w:pPr>
      <w:r w:rsidRPr="00796A73">
        <w:rPr>
          <w:rFonts w:ascii="Montserrat Light" w:hAnsi="Montserrat Light"/>
          <w:b/>
        </w:rPr>
        <w:t>11,947 AFILIADOS AL PROGRAMA PILOTO PARA LA INCORPORACIÓN DE PERSONAS TRABAJADORAS DEL HOGAR</w:t>
      </w:r>
    </w:p>
    <w:p w:rsidR="00796A73" w:rsidRPr="00796A73" w:rsidRDefault="00796A73" w:rsidP="00796A73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796A73">
        <w:rPr>
          <w:rFonts w:ascii="Montserrat Light" w:hAnsi="Montserrat Light"/>
          <w:sz w:val="20"/>
          <w:szCs w:val="20"/>
        </w:rPr>
        <w:t>Durante el mes de octubre, se afiliaron 11,947</w:t>
      </w:r>
      <w:r w:rsidR="000F5022">
        <w:rPr>
          <w:rFonts w:ascii="Montserrat Light" w:hAnsi="Montserrat Light"/>
          <w:sz w:val="20"/>
          <w:szCs w:val="20"/>
        </w:rPr>
        <w:t xml:space="preserve"> (once mil novecientas cuarenta y siete)</w:t>
      </w:r>
      <w:r w:rsidRPr="00796A73">
        <w:rPr>
          <w:rFonts w:ascii="Montserrat Light" w:hAnsi="Montserrat Light"/>
          <w:sz w:val="20"/>
          <w:szCs w:val="20"/>
        </w:rPr>
        <w:t xml:space="preserve"> personas al Programa Piloto de Personas Trabajadoras del Hogar. Esto es 354%</w:t>
      </w:r>
      <w:r w:rsidR="0054128D">
        <w:rPr>
          <w:rFonts w:ascii="Montserrat Light" w:hAnsi="Montserrat Light"/>
          <w:sz w:val="20"/>
          <w:szCs w:val="20"/>
        </w:rPr>
        <w:t xml:space="preserve"> (trescientos cincuenta y cuatro por ciento)</w:t>
      </w:r>
      <w:r w:rsidRPr="00796A73">
        <w:rPr>
          <w:rFonts w:ascii="Montserrat Light" w:hAnsi="Montserrat Light"/>
          <w:sz w:val="20"/>
          <w:szCs w:val="20"/>
        </w:rPr>
        <w:t xml:space="preserve"> más que los trabajadores asegurados en el esquema anterior de la modalidad 34 “Trabajadores Domésticos”.</w:t>
      </w:r>
    </w:p>
    <w:p w:rsidR="00796A73" w:rsidRPr="00796A73" w:rsidRDefault="00796A73" w:rsidP="00796A73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796A73">
        <w:rPr>
          <w:rFonts w:ascii="Montserrat Light" w:hAnsi="Montserrat Light"/>
          <w:sz w:val="20"/>
          <w:szCs w:val="20"/>
        </w:rPr>
        <w:t>De estas 11,947 (</w:t>
      </w:r>
      <w:r w:rsidR="003B1750">
        <w:rPr>
          <w:rFonts w:ascii="Montserrat Light" w:hAnsi="Montserrat Light"/>
          <w:sz w:val="20"/>
          <w:szCs w:val="20"/>
        </w:rPr>
        <w:t>once</w:t>
      </w:r>
      <w:r w:rsidR="003B1750" w:rsidRPr="00796A73">
        <w:rPr>
          <w:rFonts w:ascii="Montserrat Light" w:hAnsi="Montserrat Light"/>
          <w:sz w:val="20"/>
          <w:szCs w:val="20"/>
        </w:rPr>
        <w:t xml:space="preserve"> </w:t>
      </w:r>
      <w:r w:rsidRPr="00796A73">
        <w:rPr>
          <w:rFonts w:ascii="Montserrat Light" w:hAnsi="Montserrat Light"/>
          <w:sz w:val="20"/>
          <w:szCs w:val="20"/>
        </w:rPr>
        <w:t>mil novecient</w:t>
      </w:r>
      <w:r w:rsidR="000F5022">
        <w:rPr>
          <w:rFonts w:ascii="Montserrat Light" w:hAnsi="Montserrat Light"/>
          <w:sz w:val="20"/>
          <w:szCs w:val="20"/>
        </w:rPr>
        <w:t>a</w:t>
      </w:r>
      <w:r w:rsidRPr="00796A73">
        <w:rPr>
          <w:rFonts w:ascii="Montserrat Light" w:hAnsi="Montserrat Light"/>
          <w:sz w:val="20"/>
          <w:szCs w:val="20"/>
        </w:rPr>
        <w:t>s cuarenta y siete) personas, se espera un total de 19,500 (diecinueve mil quinientos) beneficiarios potenciales.</w:t>
      </w:r>
    </w:p>
    <w:p w:rsidR="00631B71" w:rsidRPr="00796A73" w:rsidRDefault="00796A73" w:rsidP="00796A73">
      <w:pPr>
        <w:numPr>
          <w:ilvl w:val="0"/>
          <w:numId w:val="2"/>
        </w:numPr>
        <w:spacing w:after="160"/>
        <w:ind w:left="284" w:hanging="284"/>
        <w:jc w:val="both"/>
        <w:rPr>
          <w:rFonts w:ascii="Montserrat Light" w:hAnsi="Montserrat Light"/>
          <w:sz w:val="20"/>
          <w:szCs w:val="20"/>
        </w:rPr>
      </w:pPr>
      <w:r w:rsidRPr="00796A73">
        <w:rPr>
          <w:rFonts w:ascii="Montserrat Light" w:hAnsi="Montserrat Light"/>
          <w:sz w:val="20"/>
          <w:szCs w:val="20"/>
        </w:rPr>
        <w:t xml:space="preserve">El salario promedio mensual asociado al Programa Piloto de Personas Trabajadoras del Hogar es de 4,675 </w:t>
      </w:r>
      <w:r w:rsidR="000F5022">
        <w:rPr>
          <w:rFonts w:ascii="Montserrat Light" w:hAnsi="Montserrat Light"/>
          <w:sz w:val="20"/>
          <w:szCs w:val="20"/>
        </w:rPr>
        <w:t xml:space="preserve">(cuatro mil seiscientos setenta y cinco) </w:t>
      </w:r>
      <w:r w:rsidRPr="00796A73">
        <w:rPr>
          <w:rFonts w:ascii="Montserrat Light" w:hAnsi="Montserrat Light"/>
          <w:sz w:val="20"/>
          <w:szCs w:val="20"/>
        </w:rPr>
        <w:t xml:space="preserve">pesos, mientras que el salario promedio de la modalidad 34 “Trabajadores Domésticos” es de 4,157 </w:t>
      </w:r>
      <w:r w:rsidR="000F5022">
        <w:rPr>
          <w:rFonts w:ascii="Montserrat Light" w:hAnsi="Montserrat Light"/>
          <w:sz w:val="20"/>
          <w:szCs w:val="20"/>
        </w:rPr>
        <w:t xml:space="preserve">(cuatro mil ciento cincuenta y siete) </w:t>
      </w:r>
      <w:r w:rsidRPr="00796A73">
        <w:rPr>
          <w:rFonts w:ascii="Montserrat Light" w:hAnsi="Montserrat Light"/>
          <w:sz w:val="20"/>
          <w:szCs w:val="20"/>
        </w:rPr>
        <w:t>pesos.</w:t>
      </w:r>
    </w:p>
    <w:p w:rsidR="004F21DB" w:rsidRDefault="004F21DB" w:rsidP="00631B71">
      <w:pPr>
        <w:ind w:right="-91"/>
        <w:jc w:val="center"/>
        <w:rPr>
          <w:b/>
        </w:rPr>
      </w:pPr>
    </w:p>
    <w:p w:rsidR="004F21DB" w:rsidRDefault="004F21DB" w:rsidP="00631B71">
      <w:pPr>
        <w:ind w:right="-91"/>
        <w:jc w:val="center"/>
        <w:rPr>
          <w:b/>
        </w:rPr>
      </w:pPr>
    </w:p>
    <w:p w:rsidR="00C4668F" w:rsidRDefault="00C4668F" w:rsidP="00631B71">
      <w:pPr>
        <w:ind w:right="-91"/>
        <w:jc w:val="center"/>
        <w:rPr>
          <w:b/>
        </w:rPr>
      </w:pPr>
    </w:p>
    <w:p w:rsidR="00C4668F" w:rsidRDefault="00C4668F" w:rsidP="00631B71">
      <w:pPr>
        <w:ind w:right="-91"/>
        <w:jc w:val="center"/>
        <w:rPr>
          <w:b/>
        </w:rPr>
      </w:pPr>
    </w:p>
    <w:p w:rsidR="00631B71" w:rsidRPr="00631B71" w:rsidRDefault="00631B71" w:rsidP="00631B71">
      <w:pPr>
        <w:ind w:right="-91"/>
        <w:jc w:val="center"/>
        <w:rPr>
          <w:b/>
        </w:rPr>
      </w:pPr>
      <w:r w:rsidRPr="00631B71">
        <w:rPr>
          <w:b/>
        </w:rPr>
        <w:t>Empleo asegurado en el IMSS</w:t>
      </w:r>
    </w:p>
    <w:p w:rsidR="00631B71" w:rsidRPr="00A81AAB" w:rsidRDefault="006C07A0" w:rsidP="00631B71">
      <w:pPr>
        <w:ind w:right="-91"/>
        <w:rPr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B2401" wp14:editId="2F712403">
                <wp:simplePos x="0" y="0"/>
                <wp:positionH relativeFrom="column">
                  <wp:posOffset>3659505</wp:posOffset>
                </wp:positionH>
                <wp:positionV relativeFrom="paragraph">
                  <wp:posOffset>235585</wp:posOffset>
                </wp:positionV>
                <wp:extent cx="2156460" cy="382270"/>
                <wp:effectExtent l="1905" t="0" r="381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B86D8D" w:rsidP="00106E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6D8D">
                              <w:rPr>
                                <w:rFonts w:eastAsia="Times New Roman"/>
                                <w:sz w:val="16"/>
                                <w:szCs w:val="16"/>
                                <w:lang w:eastAsia="es-MX"/>
                              </w:rPr>
                              <w:t>Puestos de trabajo al 31-oct-19: 20,727,424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2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15pt;margin-top:18.55pt;width:169.8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+jStgIAALo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4D&#13;&#10;d3OMBO2Bo0e2N+hO7lFk2zMOOgOvhwH8zB6OwdWVqod7WX3TSMhlS8WG3Solx5bRGtIL7U3/4uqE&#13;&#10;oy3IevwoawhDt0Y6oH2jets76AYCdKDp6USNTaWCwyicxSQGUwW2d0kUzR13Ps2OtwelzXsme2QX&#13;&#10;OVZAvUOnu3ttbDY0O7rYYEKWvOsc/Z14dgCO0wnEhqvWZrNwbP5Mg3SVrBLikSheeSQoCu+2XBIv&#13;&#10;LsP5rHhXLJdF+MvGDUnW8rpmwoY5Kiskf8bcQeOTJk7a0rLjtYWzKWm1WS87hXYUlF26z/UcLGc3&#13;&#10;/3karglQy4uSwogEd1HqlXEy90hJZl46DxIvCNO7NA5ISoryeUn3XLB/LwmNOU5n0WwS0znpF7UF&#13;&#10;7ntdG816bmB2dLzPcXJyopmV4ErUjlpDeTetL1ph0z+3Aug+Eu0EazU6qdXs13tAsSpey/oJpKsk&#13;&#10;KAtECAMPFq1UPzAaYXjkWH/fUsUw6j4IkH8aEmKnjduQ2TyCjbq0rC8tVFQAlWOD0bRcmmlCbQfF&#13;&#10;Ny1Emh6ckLfwZBru1HzO6vDQYEC4og7DzE6gy73zOo/cxW8AAAD//wMAUEsDBBQABgAIAAAAIQA2&#13;&#10;4hkJ4QAAAA4BAAAPAAAAZHJzL2Rvd25yZXYueG1sTE9NT4NAEL2b+B82Y+LN7iJSCmVpjI1XTas2&#13;&#10;8baFKRDZWcJuC/57x5NeJjN5b95HsZltLy44+s6RhmihQCBVru6o0fD+9ny3AuGDodr0jlDDN3rY&#13;&#10;lNdXhclrN9EOL/vQCBYhnxsNbQhDLqWvWrTGL9yAxNjJjdYEPsdG1qOZWNz28l6ppbSmI3ZozYBP&#13;&#10;LVZf+7PV8PFy+jw8qNdma5NhcrOSZDOp9e3NvF3zeFyDCDiHvw/47cD5oeRgR3em2oteQ5IuY6Zq&#13;&#10;iNMIBBOyKMlAHHlJY5BlIf/XKH8AAAD//wMAUEsBAi0AFAAGAAgAAAAhALaDOJL+AAAA4QEAABMA&#13;&#10;AAAAAAAAAAAAAAAAAAAAAFtDb250ZW50X1R5cGVzXS54bWxQSwECLQAUAAYACAAAACEAOP0h/9YA&#13;&#10;AACUAQAACwAAAAAAAAAAAAAAAAAvAQAAX3JlbHMvLnJlbHNQSwECLQAUAAYACAAAACEAcnfo0rYC&#13;&#10;AAC6BQAADgAAAAAAAAAAAAAAAAAuAgAAZHJzL2Uyb0RvYy54bWxQSwECLQAUAAYACAAAACEANuIZ&#13;&#10;CeEAAAAOAQAADwAAAAAAAAAAAAAAAAAQBQAAZHJzL2Rvd25yZXYueG1sUEsFBgAAAAAEAAQA8wAA&#13;&#10;AB4GAAAAAA==&#13;&#10;" filled="f" stroked="f">
                <v:textbox>
                  <w:txbxContent>
                    <w:p w:rsidR="00631B71" w:rsidRPr="00631B71" w:rsidRDefault="00B86D8D" w:rsidP="00106E2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6D8D">
                        <w:rPr>
                          <w:rFonts w:eastAsia="Times New Roman"/>
                          <w:sz w:val="16"/>
                          <w:szCs w:val="16"/>
                          <w:lang w:eastAsia="es-MX"/>
                        </w:rPr>
                        <w:t>Puestos de trabajo al 31-oct-19: 20,727,424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F656D" wp14:editId="0C62D460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3580130" cy="2209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631B71" w:rsidP="00631B71">
                            <w:pPr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Variación anual de puestos de trabajo</w:t>
                            </w:r>
                          </w:p>
                          <w:p w:rsidR="00631B71" w:rsidRPr="00631B71" w:rsidRDefault="00631B71" w:rsidP="00631B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656D" id="_x0000_s1027" type="#_x0000_t202" style="position:absolute;margin-left:10.25pt;margin-top:3.75pt;width:281.9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omUuQIAAMEFAAAOAAAAZHJzL2Uyb0RvYy54bWysVMlu2zAQvRfoPxC8K1pC25IQuUgsqyiQ&#13;&#10;LkDSD6AlyiIqkSpJW0qL/nuHlLckl6ItDwTJGb7Z3szNu7Fr0Z4pzaXIcHgVYMREKSsuthn++lh4&#13;&#10;MUbaUFHRVgqW4Sem8bvl2zc3Q5+ySDayrZhCACJ0OvQZbozpU9/XZcM6qq9kzwQIa6k6auCqtn6l&#13;&#10;6ADoXetHQTD3B6mqXsmSaQ2v+STES4df16w0n+taM4PaDINvxu3K7Ru7+8sbmm4V7RteHtygf+FF&#13;&#10;R7kAoyeonBqKdoq/gup4qaSWtbkqZefLuuYlczFANGHwIpqHhvbMxQLJ0f0pTfr/wZaf9l8U4hXU&#13;&#10;bo6RoB3U6JGNBt3JEUU2PUOvU9B66EHPjPAMqi5U3d/L8ptGQq4aKrbsVik5NIxW4F5of/oXXycc&#13;&#10;bUE2w0dZgRm6M9IBjbXqbO4gGwjQoUxPp9JYV0p4vJ7FQXgNohJkURQksaudT9Pj715p857JDtlD&#13;&#10;hhWU3qHT/b021huaHlWsMSEL3rau/K149gCK0wvYhq9WZr1w1fyZBMk6XsfEI9F87ZEgz73bYkW8&#13;&#10;eREuZvl1vlrl4S9rNyRpw6uKCWvmyKyQ/FnlDhyfOHHilpYtryycdUmr7WbVKrSnwOzCLZdzkJzV&#13;&#10;/OduuCRALC9CCiMS3EWJV8zjhUcKMvOSRRB7QZjcJfOAJCQvnod0zwX795DQkOFkFs0mMp2dfhFb&#13;&#10;4Nbr2GjacQOzo+VdhuOTEk0tBdeicqU1lLfT+SIV1v1zKqDcx0I7wlqOTmw142acWuPYBxtZPQGD&#13;&#10;lQSCARdh7sGhkeoHRgPMkAzr7zuqGEbtBwFdkISE2KHjLmS2iOCiLiWbSwkVJUBl2GA0HVdmGlS7&#13;&#10;XvFtA5amvhPyFjqn5o7UtsUmrw79BnPCxXaYaXYQXd6d1nnyLn8DAAD//wMAUEsDBBQABgAIAAAA&#13;&#10;IQAp81ht3wAAAAwBAAAPAAAAZHJzL2Rvd25yZXYueG1sTE9NT8MwDL0j8R8iI3FjCV0Lo6s7ISau&#13;&#10;IMaHxC1rvbaicaomW8u/x5zgYst6z++j2MyuVycaQ+cZ4XphQBFXvu64QXh7fbxagQrRcm17z4Tw&#13;&#10;TQE25flZYfPaT/xCp11slIhwyC1CG+OQax2qlpwNCz8QC3bwo7NRzrHR9WgnEXe9Toy50c52LA6t&#13;&#10;Heihpeprd3QI70+Hz4/UPDdblw2Tn41md6cRLy/m7VrG/RpUpDn+fcBvB8kPpQTb+yPXQfUIicmE&#13;&#10;iXArS+BslS5B7RHSZAm6LPT/EuUPAAAA//8DAFBLAQItABQABgAIAAAAIQC2gziS/gAAAOEBAAAT&#13;&#10;AAAAAAAAAAAAAAAAAAAAAABbQ29udGVudF9UeXBlc10ueG1sUEsBAi0AFAAGAAgAAAAhADj9If/W&#13;&#10;AAAAlAEAAAsAAAAAAAAAAAAAAAAALwEAAF9yZWxzLy5yZWxzUEsBAi0AFAAGAAgAAAAhAE4SiZS5&#13;&#10;AgAAwQUAAA4AAAAAAAAAAAAAAAAALgIAAGRycy9lMm9Eb2MueG1sUEsBAi0AFAAGAAgAAAAhACnz&#13;&#10;WG3fAAAADAEAAA8AAAAAAAAAAAAAAAAAEwUAAGRycy9kb3ducmV2LnhtbFBLBQYAAAAABAAEAPMA&#13;&#10;AAAfBgAAAAA=&#13;&#10;" filled="f" stroked="f">
                <v:textbox>
                  <w:txbxContent>
                    <w:p w:rsidR="00631B71" w:rsidRPr="00631B71" w:rsidRDefault="00631B71" w:rsidP="00631B71">
                      <w:pPr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Variación anual de puestos de trabajo</w:t>
                      </w:r>
                    </w:p>
                    <w:p w:rsidR="00631B71" w:rsidRPr="00631B71" w:rsidRDefault="00631B71" w:rsidP="00631B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337"/>
        <w:tblW w:w="2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177"/>
      </w:tblGrid>
      <w:tr w:rsidR="00631B71" w:rsidRPr="00A81AAB" w:rsidTr="00112EDE">
        <w:trPr>
          <w:trHeight w:val="454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1E4033"/>
            <w:noWrap/>
            <w:vAlign w:val="center"/>
            <w:hideMark/>
          </w:tcPr>
          <w:p w:rsidR="00631B71" w:rsidRPr="00631B71" w:rsidRDefault="00631B71" w:rsidP="00112ED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31B71">
              <w:rPr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Variación</w:t>
            </w:r>
          </w:p>
        </w:tc>
      </w:tr>
      <w:tr w:rsidR="00B86D8D" w:rsidRPr="00A81AAB" w:rsidTr="00112EDE">
        <w:trPr>
          <w:trHeight w:val="283"/>
        </w:trPr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8D" w:rsidRDefault="00B86D8D" w:rsidP="00B86D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respecto al 31-oct-18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8D" w:rsidRDefault="00B86D8D" w:rsidP="00B86D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371,245</w:t>
            </w:r>
          </w:p>
        </w:tc>
      </w:tr>
      <w:tr w:rsidR="00B86D8D" w:rsidRPr="00A81AAB" w:rsidTr="00112EDE">
        <w:trPr>
          <w:trHeight w:val="283"/>
        </w:trPr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D8D" w:rsidRPr="00A81AAB" w:rsidRDefault="00B86D8D" w:rsidP="00B86D8D">
            <w:pPr>
              <w:spacing w:after="0" w:line="240" w:lineRule="auto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6D8D" w:rsidRPr="00A81AAB" w:rsidRDefault="00B86D8D" w:rsidP="00B86D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(1.8%)</w:t>
            </w:r>
          </w:p>
        </w:tc>
      </w:tr>
      <w:tr w:rsidR="00B86D8D" w:rsidRPr="00A81AAB" w:rsidTr="00112EDE">
        <w:trPr>
          <w:trHeight w:val="283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6D8D" w:rsidRDefault="00B86D8D" w:rsidP="00B86D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respecto al 31-dic-18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6D8D" w:rsidRDefault="00B86D8D" w:rsidP="00B86D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648,059</w:t>
            </w:r>
          </w:p>
        </w:tc>
      </w:tr>
      <w:tr w:rsidR="00B86D8D" w:rsidRPr="00A81AAB" w:rsidTr="00112EDE">
        <w:trPr>
          <w:trHeight w:val="283"/>
        </w:trPr>
        <w:tc>
          <w:tcPr>
            <w:tcW w:w="1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8D" w:rsidRPr="00A81AAB" w:rsidRDefault="00B86D8D" w:rsidP="00B86D8D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6D8D" w:rsidRPr="00A81AAB" w:rsidRDefault="00B86D8D" w:rsidP="00B86D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(3.2%)</w:t>
            </w:r>
          </w:p>
        </w:tc>
      </w:tr>
      <w:tr w:rsidR="00B86D8D" w:rsidRPr="00A81AAB" w:rsidTr="00112EDE">
        <w:trPr>
          <w:trHeight w:val="283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6D8D" w:rsidRDefault="00B86D8D" w:rsidP="00B86D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respecto al 30-sep-19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6D8D" w:rsidRDefault="00B86D8D" w:rsidP="00B86D8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159,998</w:t>
            </w:r>
          </w:p>
        </w:tc>
      </w:tr>
      <w:tr w:rsidR="00B86D8D" w:rsidRPr="00A81AAB" w:rsidTr="00112EDE">
        <w:trPr>
          <w:trHeight w:val="283"/>
        </w:trPr>
        <w:tc>
          <w:tcPr>
            <w:tcW w:w="1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8D" w:rsidRPr="00A81AAB" w:rsidRDefault="00B86D8D" w:rsidP="00B86D8D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6D8D" w:rsidRDefault="00B86D8D" w:rsidP="00B86D8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(0.78%)</w:t>
            </w:r>
          </w:p>
        </w:tc>
      </w:tr>
    </w:tbl>
    <w:p w:rsidR="00631B71" w:rsidRPr="00A81AAB" w:rsidRDefault="00631B71" w:rsidP="00106E2D">
      <w:pPr>
        <w:spacing w:after="0" w:line="240" w:lineRule="auto"/>
        <w:jc w:val="center"/>
      </w:pPr>
    </w:p>
    <w:p w:rsidR="00631B71" w:rsidRPr="00A81AAB" w:rsidRDefault="00612B31" w:rsidP="00631B71">
      <w:pPr>
        <w:ind w:right="-91"/>
        <w:jc w:val="center"/>
      </w:pPr>
      <w:r>
        <w:rPr>
          <w:noProof/>
          <w:lang w:eastAsia="es-MX"/>
        </w:rPr>
        <w:drawing>
          <wp:inline distT="0" distB="0" distL="0" distR="0">
            <wp:extent cx="3835400" cy="1485900"/>
            <wp:effectExtent l="0" t="0" r="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71" w:rsidRDefault="00631B71" w:rsidP="00EF6D16">
      <w:pPr>
        <w:spacing w:after="0" w:line="240" w:lineRule="auto"/>
        <w:ind w:right="-91"/>
        <w:jc w:val="center"/>
      </w:pPr>
    </w:p>
    <w:p w:rsidR="00C4668F" w:rsidRPr="00EC730B" w:rsidRDefault="00C4668F" w:rsidP="00EF6D16">
      <w:pPr>
        <w:spacing w:after="0" w:line="240" w:lineRule="auto"/>
        <w:ind w:right="-91"/>
        <w:jc w:val="center"/>
      </w:pPr>
    </w:p>
    <w:p w:rsidR="00EF6D16" w:rsidRDefault="006C07A0" w:rsidP="00631B71">
      <w:pPr>
        <w:ind w:left="4962" w:right="-142" w:hanging="4962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2F2E" wp14:editId="5870DC6A">
                <wp:simplePos x="0" y="0"/>
                <wp:positionH relativeFrom="column">
                  <wp:posOffset>2877820</wp:posOffset>
                </wp:positionH>
                <wp:positionV relativeFrom="paragraph">
                  <wp:posOffset>-34925</wp:posOffset>
                </wp:positionV>
                <wp:extent cx="2950845" cy="34099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631B71" w:rsidP="00106E2D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sz w:val="16"/>
                                <w:szCs w:val="16"/>
                              </w:rPr>
                              <w:t>Variación en lo que va del año de puestos de trabajo en el IMSS</w:t>
                            </w:r>
                          </w:p>
                          <w:p w:rsidR="00631B71" w:rsidRPr="00631B71" w:rsidRDefault="00631B71" w:rsidP="00631B71">
                            <w:pPr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sz w:val="16"/>
                                <w:szCs w:val="16"/>
                              </w:rPr>
                              <w:t>(enero-</w:t>
                            </w:r>
                            <w:r w:rsidR="00B86D8D">
                              <w:rPr>
                                <w:b/>
                                <w:sz w:val="16"/>
                                <w:szCs w:val="16"/>
                              </w:rPr>
                              <w:t>octu</w:t>
                            </w:r>
                            <w:r w:rsidR="00106E2D">
                              <w:rPr>
                                <w:b/>
                                <w:sz w:val="16"/>
                                <w:szCs w:val="16"/>
                              </w:rPr>
                              <w:t>bre</w:t>
                            </w:r>
                            <w:r w:rsidRPr="00631B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cada 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2F2E" id="_x0000_s1028" type="#_x0000_t202" style="position:absolute;left:0;text-align:left;margin-left:226.6pt;margin-top:-2.75pt;width:232.3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L9muAIAAMEFAAAOAAAAZHJzL2Uyb0RvYy54bWysVNtu2zAMfR+wfxD07vpSObGNOkUbx8OA&#13;&#10;7gK0+wDFlmNhtuRJSpxu2L+PkpM0bTFg2OYHQxfqkIc85NX1vu/QjinNpchxeBFgxEQlay42Of7y&#13;&#10;UHoJRtpQUdNOCpbjR6bx9eLtm6txyFgkW9nVTCEAETobhxy3xgyZ7+uqZT3VF3JgAi4bqXpqYKs2&#13;&#10;fq3oCOh950dBMPNHqepByYppDafFdIkXDr9pWGU+NY1mBnU5htiM+yv3X9u/v7ii2UbRoeXVIQz6&#13;&#10;F1H0lAtweoIqqKFoq/grqJ5XSmrZmItK9r5sGl4xxwHYhMELNvctHZjjAsnRwylN+v/BVh93nxXi&#13;&#10;NdQuxkjQHmr0wPYG3co9imx6xkFnYHU/gJ3ZwzGYOqp6uJPVV42EXLZUbNiNUnJsGa0hvNC+9M+e&#13;&#10;TjjagqzHD7IGN3RrpAPaN6q3uYNsIECHMj2eSmNDqeAwSuMgIRBiBXeXJEjT2Lmg2fH1oLR5x2SP&#13;&#10;7CLHCkrv0OnuThsbDc2OJtaZkCXvOlf+Tjw7AMPpBHzDU3tno3DV/JEG6SpZJcQj0WzlkaAovJty&#13;&#10;SbxZGc7j4rJYLovwp/Ubkqzldc2EdXNUVkj+rHIHjU+aOGlLy47XFs6GpNVmvewU2lFQdum+Q0LO&#13;&#10;zPznYbgkAJcXlMKIBLdR6pWzZO6RksReOg8SLwjT23QWkJQU5XNKd1ywf6eExhyncRRPYvott8B9&#13;&#10;r7nRrOcGZkfH+xwnJyOaWQmuRO1KayjvpvVZKmz4T6mAch8L7QRrNTqp1ezXe9capz5Yy/oRFKwk&#13;&#10;CAxkCnMPFq1U3zEaYYbkWH/bUsUw6t4L6II0JMQOHbch8TyCjTq/WZ/fUFEBVI4NRtNyaaZBtR0U&#13;&#10;37Tgaeo7IW+gcxruRG1bbIrq0G8wJxy3w0yzg+h876yeJu/iFwAAAP//AwBQSwMEFAAGAAgAAAAh&#13;&#10;AGWYg47hAAAADgEAAA8AAABkcnMvZG93bnJldi54bWxMT8tOwzAQvCPxD9YicWvthoY2aZwKUXEF&#13;&#10;UQoSNzfeJhHxOordJvw9ywkuI61mdh7FdnKduOAQWk8aFnMFAqnytqVaw+HtabYGEaIhazpPqOEb&#13;&#10;A2zL66vC5NaP9IqXfawFm1DIjYYmxj6XMlQNOhPmvkdi7uQHZyKfQy3tYEY2d51MlLqXzrTECY3p&#13;&#10;8bHB6mt/dhren0+fH0v1Uu9c2o9+UpJcJrW+vZl2G4aHDYiIU/z7gN8N3B9KLnb0Z7JBdBqW6V3C&#13;&#10;Ug2zNAXBgmyxykAcmVknIMtC/p9R/gAAAP//AwBQSwECLQAUAAYACAAAACEAtoM4kv4AAADhAQAA&#13;&#10;EwAAAAAAAAAAAAAAAAAAAAAAW0NvbnRlbnRfVHlwZXNdLnhtbFBLAQItABQABgAIAAAAIQA4/SH/&#13;&#10;1gAAAJQBAAALAAAAAAAAAAAAAAAAAC8BAABfcmVscy8ucmVsc1BLAQItABQABgAIAAAAIQAewL9m&#13;&#10;uAIAAMEFAAAOAAAAAAAAAAAAAAAAAC4CAABkcnMvZTJvRG9jLnhtbFBLAQItABQABgAIAAAAIQBl&#13;&#10;mIOO4QAAAA4BAAAPAAAAAAAAAAAAAAAAABIFAABkcnMvZG93bnJldi54bWxQSwUGAAAAAAQABADz&#13;&#10;AAAAIAYAAAAA&#13;&#10;" filled="f" stroked="f">
                <v:textbox>
                  <w:txbxContent>
                    <w:p w:rsidR="00631B71" w:rsidRPr="00631B71" w:rsidRDefault="00631B71" w:rsidP="00106E2D">
                      <w:pPr>
                        <w:spacing w:after="0" w:line="240" w:lineRule="auto"/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sz w:val="16"/>
                          <w:szCs w:val="16"/>
                        </w:rPr>
                        <w:t>Variación en lo que va del año de puestos de trabajo en el IMSS</w:t>
                      </w:r>
                    </w:p>
                    <w:p w:rsidR="00631B71" w:rsidRPr="00631B71" w:rsidRDefault="00631B71" w:rsidP="00631B71">
                      <w:pPr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sz w:val="16"/>
                          <w:szCs w:val="16"/>
                        </w:rPr>
                        <w:t>(enero-</w:t>
                      </w:r>
                      <w:r w:rsidR="00B86D8D">
                        <w:rPr>
                          <w:b/>
                          <w:sz w:val="16"/>
                          <w:szCs w:val="16"/>
                        </w:rPr>
                        <w:t>octu</w:t>
                      </w:r>
                      <w:r w:rsidR="00106E2D">
                        <w:rPr>
                          <w:b/>
                          <w:sz w:val="16"/>
                          <w:szCs w:val="16"/>
                        </w:rPr>
                        <w:t>bre</w:t>
                      </w:r>
                      <w:r w:rsidRPr="00631B71">
                        <w:rPr>
                          <w:b/>
                          <w:sz w:val="16"/>
                          <w:szCs w:val="16"/>
                        </w:rPr>
                        <w:t xml:space="preserve"> de cada año)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4AD24" wp14:editId="203327BB">
                <wp:simplePos x="0" y="0"/>
                <wp:positionH relativeFrom="column">
                  <wp:posOffset>1270</wp:posOffset>
                </wp:positionH>
                <wp:positionV relativeFrom="paragraph">
                  <wp:posOffset>-34925</wp:posOffset>
                </wp:positionV>
                <wp:extent cx="3035935" cy="3276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631B71" w:rsidP="00106E2D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sz w:val="16"/>
                                <w:szCs w:val="16"/>
                              </w:rPr>
                              <w:t>Variación mensual de puestos de trabajo en el IMSS</w:t>
                            </w:r>
                          </w:p>
                          <w:p w:rsidR="00631B71" w:rsidRPr="00631B71" w:rsidRDefault="00631B71" w:rsidP="00631B71">
                            <w:pPr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86D8D">
                              <w:rPr>
                                <w:b/>
                                <w:sz w:val="16"/>
                                <w:szCs w:val="16"/>
                              </w:rPr>
                              <w:t>octub</w:t>
                            </w:r>
                            <w:r w:rsidR="00106E2D">
                              <w:rPr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  <w:r w:rsidRPr="00631B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cada 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AD24" id="_x0000_s1029" type="#_x0000_t202" style="position:absolute;left:0;text-align:left;margin-left:.1pt;margin-top:-2.75pt;width:239.0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fbCuwIAAMEFAAAOAAAAZHJzL2Uyb0RvYy54bWysVNtunDAQfa/Uf7D8TrgssAsKGyXLUlVK&#13;&#10;L1LSD/CCWayCTW3vQhr13zs2e0vyUrX1g2V7xmduZ+b6ZuxatKdSMcEz7F95GFFeiorxbYa/PRbO&#13;&#10;AiOlCa9IKzjN8BNV+Gb5/t310Kc0EI1oKyoRgHCVDn2GG6371HVV2dCOqCvRUw7CWsiOaLjKrVtJ&#13;&#10;MgB617qB58XuIGTVS1FSpeA1n4R4afHrmpb6S10rqlGbYfBN213afWN2d3lN0q0kfcPKgxvkL7zo&#13;&#10;CONg9ASVE03QTrI3UB0rpVCi1lel6FxR16ykNgaIxvdeRfPQkJ7aWCA5qj+lSf0/2PLz/qtErILa&#13;&#10;BRhx0kGNHumo0Z0YUWDSM/QqBa2HHvT0CM+gakNV/b0ovyvExaohfEtvpRRDQ0kF7vnmp3vxdcJR&#13;&#10;BmQzfBIVmCE7LSzQWMvO5A6ygQAdyvR0Ko1xpYTHmTeLklmEUQmyWTCPY1s7l6TH371U+gMVHTKH&#13;&#10;DEsovUUn+3uljTckPaoYY1wUrG1t+Vv+4gEUpxewDV+NzHhhq/mceMl6sV6EThjEayf08ty5LVah&#13;&#10;Exf+PMpn+WqV+7+MXT9MG1ZVlBszR2b54Z9V7sDxiRMnbinRssrAGZeU3G5WrUR7Aswu7LI5B8lZ&#13;&#10;zX3phk0CxPIqJD8IvbsgcYp4MXfCIoycZO4tHM9P7pLYC5MwL16GdM84/feQ0JDhJAqiiUxnp1/F&#13;&#10;5tn1NjaSdkzD7GhZl+HFSYmkhoJrXtnSasLa6XyRCuP+ORVQ7mOhLWENRye26nEz2taYHftgI6on&#13;&#10;YLAUQDCgKcw9ODRC/sRogBmSYfVjRyTFqP3IoQsSPwzN0LGXMJoHcJGXks2lhPASoDKsMZqOKz0N&#13;&#10;ql0v2bYBS1PfcXELnVMzS2rTYpNXh36DOWFjO8w0M4gu71brPHmXvwEAAP//AwBQSwMEFAAGAAgA&#13;&#10;AAAhAOXR+47fAAAACwEAAA8AAABkcnMvZG93bnJldi54bWxMT01PwzAMvSPtP0SexG1LNtZ9dE0n&#13;&#10;xMQVxGBI3LLGa6s1TtVka/n3mBNcLFvv+X1ku8E14oZdqD1pmE0VCKTC25pKDR/vz5M1iBANWdN4&#13;&#10;Qg3fGGCXj+4yk1rf0xveDrEULEIhNRqqGNtUylBU6EyY+haJsbPvnIl8dqW0nelZ3DVyrtRSOlMT&#13;&#10;O1SmxacKi8vh6jQcX85fnwv1Wu5d0vZ+UJLcRmp9Px72Wx6PWxARh/j3Ab8dOD/kHOzkr2SDaDTM&#13;&#10;madhkiQgGF2s1g8gTrwsZyDzTP7vkP8AAAD//wMAUEsBAi0AFAAGAAgAAAAhALaDOJL+AAAA4QEA&#13;&#10;ABMAAAAAAAAAAAAAAAAAAAAAAFtDb250ZW50X1R5cGVzXS54bWxQSwECLQAUAAYACAAAACEAOP0h&#13;&#10;/9YAAACUAQAACwAAAAAAAAAAAAAAAAAvAQAAX3JlbHMvLnJlbHNQSwECLQAUAAYACAAAACEA1En2&#13;&#10;wrsCAADBBQAADgAAAAAAAAAAAAAAAAAuAgAAZHJzL2Uyb0RvYy54bWxQSwECLQAUAAYACAAAACEA&#13;&#10;5dH7jt8AAAALAQAADwAAAAAAAAAAAAAAAAAVBQAAZHJzL2Rvd25yZXYueG1sUEsFBgAAAAAEAAQA&#13;&#10;8wAAACEGAAAAAA==&#13;&#10;" filled="f" stroked="f">
                <v:textbox>
                  <w:txbxContent>
                    <w:p w:rsidR="00631B71" w:rsidRPr="00631B71" w:rsidRDefault="00631B71" w:rsidP="00106E2D">
                      <w:pPr>
                        <w:spacing w:after="0" w:line="240" w:lineRule="auto"/>
                        <w:ind w:right="-91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sz w:val="16"/>
                          <w:szCs w:val="16"/>
                        </w:rPr>
                        <w:t>Variación mensual de puestos de trabajo en el IMSS</w:t>
                      </w:r>
                    </w:p>
                    <w:p w:rsidR="00631B71" w:rsidRPr="00631B71" w:rsidRDefault="00631B71" w:rsidP="00631B71">
                      <w:pPr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B86D8D">
                        <w:rPr>
                          <w:b/>
                          <w:sz w:val="16"/>
                          <w:szCs w:val="16"/>
                        </w:rPr>
                        <w:t>octub</w:t>
                      </w:r>
                      <w:r w:rsidR="00106E2D">
                        <w:rPr>
                          <w:b/>
                          <w:sz w:val="16"/>
                          <w:szCs w:val="16"/>
                        </w:rPr>
                        <w:t>re</w:t>
                      </w:r>
                      <w:r w:rsidRPr="00631B71">
                        <w:rPr>
                          <w:b/>
                          <w:sz w:val="16"/>
                          <w:szCs w:val="16"/>
                        </w:rPr>
                        <w:t xml:space="preserve"> de cada año)</w:t>
                      </w:r>
                    </w:p>
                  </w:txbxContent>
                </v:textbox>
              </v:shape>
            </w:pict>
          </mc:Fallback>
        </mc:AlternateContent>
      </w:r>
    </w:p>
    <w:p w:rsidR="00631B71" w:rsidRDefault="00612B31" w:rsidP="00631B71">
      <w:pPr>
        <w:ind w:left="4962" w:right="-142" w:hanging="4962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806700" cy="1320800"/>
            <wp:effectExtent l="0" t="0" r="0" b="0"/>
            <wp:docPr id="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E2D">
        <w:rPr>
          <w:noProof/>
          <w:lang w:eastAsia="es-MX"/>
        </w:rPr>
        <w:t xml:space="preserve">   </w:t>
      </w:r>
      <w:r>
        <w:rPr>
          <w:noProof/>
          <w:lang w:eastAsia="es-MX"/>
        </w:rPr>
        <w:drawing>
          <wp:inline distT="0" distB="0" distL="0" distR="0">
            <wp:extent cx="2768600" cy="13208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0C" w:rsidRDefault="00D6260C" w:rsidP="00D6260C">
      <w:pPr>
        <w:spacing w:after="0" w:line="240" w:lineRule="auto"/>
        <w:ind w:right="-91"/>
        <w:jc w:val="center"/>
      </w:pPr>
    </w:p>
    <w:p w:rsidR="00CE5AB9" w:rsidRPr="00A81AAB" w:rsidRDefault="00D6260C" w:rsidP="00D6260C">
      <w:pPr>
        <w:spacing w:after="0" w:line="240" w:lineRule="auto"/>
        <w:ind w:right="-91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768DA4" wp14:editId="6F249FD2">
                <wp:simplePos x="0" y="0"/>
                <wp:positionH relativeFrom="column">
                  <wp:posOffset>29210</wp:posOffset>
                </wp:positionH>
                <wp:positionV relativeFrom="paragraph">
                  <wp:posOffset>122555</wp:posOffset>
                </wp:positionV>
                <wp:extent cx="3206115" cy="3276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631B71" w:rsidP="00106E2D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% Variación anual de puestos de trabajo</w:t>
                            </w:r>
                          </w:p>
                          <w:p w:rsidR="00631B71" w:rsidRPr="00631B71" w:rsidRDefault="00631B71" w:rsidP="00631B71">
                            <w:pPr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por entidad federativa (</w:t>
                            </w:r>
                            <w:r w:rsidR="0071052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oct</w:t>
                            </w: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-19 / </w:t>
                            </w:r>
                            <w:r w:rsidR="0071052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oct</w:t>
                            </w: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-18)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8DA4" id="_x0000_s1030" type="#_x0000_t202" style="position:absolute;left:0;text-align:left;margin-left:2.3pt;margin-top:9.65pt;width:252.45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ccxuwIAAMEFAAAOAAAAZHJzL2Uyb0RvYy54bWysVMlu2zAQvRfoPxC8K1pMy5YQOUgsqyiQ&#13;&#10;LkDSD6AlyiIqkSpJW06D/nuHlLckl6ItDwTJGb7Z3sz1zb5r0Y4pzaXIcHgVYMREKSsuNhn+9lh4&#13;&#10;c4y0oaKirRQsw09M45vF+3fXQ5+ySDayrZhCACJ0OvQZbozpU9/XZcM6qq9kzwQIa6k6auCqNn6l&#13;&#10;6ADoXetHQRD7g1RVr2TJtIbXfBTihcOva1aaL3WtmUFthsE343bl9rXd/cU1TTeK9g0vD27Qv/Ci&#13;&#10;o1yA0RNUTg1FW8XfQHW8VFLL2lyVsvNlXfOSuRggmjB4Fc1DQ3vmYoHk6P6UJv3/YMvPu68K8Qpq&#13;&#10;N8FI0A5q9Mj2Bt3JPYpseoZep6D10IOe2cMzqLpQdX8vy+8aCblsqNiwW6Xk0DBagXuh/elffB1x&#13;&#10;tAVZD59kBWbo1kgHtK9VZ3MH2UCADmV6OpXGulLC4yQK4jCcYlSCbBLN4tjVzqfp8XevtPnAZIfs&#13;&#10;IcMKSu/Q6e5eG+sNTY8q1piQBW9bV/5WvHgAxfEFbMNXK7NeuGo+J0Gymq/mxCNRvPJIkOfebbEk&#13;&#10;XlyEs2k+yZfLPPxl7YYkbXhVMWHNHJkVkj+r3IHjIydO3NKy5ZWFsy5ptVkvW4V2FJhduOVyDpKz&#13;&#10;mv/SDZcEiOVVSGFEgrso8Yp4PvNIQaZeMgvmXhAmd0kckITkxcuQ7rlg/x4SGjKcTKPpSKaz069i&#13;&#10;C9x6GxtNO25gdrS8y/D8pERTS8GVqFxpDeXteL5IhXX/nAoo97HQjrCWoyNbzX69d61Bjn2wltUT&#13;&#10;MFhJIBjQFOYeHBqpfmI0wAzJsP6xpYph1H4U0AVJSIgdOu5CprMILupSsr6UUFECVIYNRuNxacZB&#13;&#10;te0V3zRgaew7IW+hc2ruSG1bbPTq0G8wJ1xsh5lmB9Hl3WmdJ+/iNwAAAP//AwBQSwMEFAAGAAgA&#13;&#10;AAAhAI0hTgrfAAAADAEAAA8AAABkcnMvZG93bnJldi54bWxMT01PwzAMvSPxHyJP4saSwTpo13RC&#13;&#10;TFxBG2wSt6zx2orGqZpsLf9+3gkuluz3/D7y1ehaccY+NJ40zKYKBFLpbUOVhq/Pt/tnECEasqb1&#13;&#10;hBp+McCquL3JTWb9QBs8b2MlWIRCZjTUMXaZlKGs0Zkw9R0SY0ffOxN57StpezOwuGvlg1IL6UxD&#13;&#10;7FCbDl9rLH+2J6dh93783s/VR7V2STf4UUlyqdT6bjKulzxeliAijvHvA64dOD8UHOzgT2SDaDXM&#13;&#10;F0zkc/oIguFEpQmIg4YnlYIscvm/RHEBAAD//wMAUEsBAi0AFAAGAAgAAAAhALaDOJL+AAAA4QEA&#13;&#10;ABMAAAAAAAAAAAAAAAAAAAAAAFtDb250ZW50X1R5cGVzXS54bWxQSwECLQAUAAYACAAAACEAOP0h&#13;&#10;/9YAAACUAQAACwAAAAAAAAAAAAAAAAAvAQAAX3JlbHMvLnJlbHNQSwECLQAUAAYACAAAACEAyAHH&#13;&#10;MbsCAADBBQAADgAAAAAAAAAAAAAAAAAuAgAAZHJzL2Uyb0RvYy54bWxQSwECLQAUAAYACAAAACEA&#13;&#10;jSFOCt8AAAAMAQAADwAAAAAAAAAAAAAAAAAVBQAAZHJzL2Rvd25yZXYueG1sUEsFBgAAAAAEAAQA&#13;&#10;8wAAACEGAAAAAA==&#13;&#10;" filled="f" stroked="f">
                <v:textbox>
                  <w:txbxContent>
                    <w:p w:rsidR="00631B71" w:rsidRPr="00631B71" w:rsidRDefault="00631B71" w:rsidP="00106E2D">
                      <w:pPr>
                        <w:spacing w:after="0" w:line="240" w:lineRule="auto"/>
                        <w:ind w:right="-91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% Variación anual de puestos de trabajo</w:t>
                      </w:r>
                    </w:p>
                    <w:p w:rsidR="00631B71" w:rsidRPr="00631B71" w:rsidRDefault="00631B71" w:rsidP="00631B71">
                      <w:pPr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por entidad federativa (</w:t>
                      </w:r>
                      <w:r w:rsidR="00710528">
                        <w:rPr>
                          <w:b/>
                          <w:color w:val="000000"/>
                          <w:sz w:val="16"/>
                          <w:szCs w:val="16"/>
                        </w:rPr>
                        <w:t>oct</w:t>
                      </w: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-19 / </w:t>
                      </w:r>
                      <w:r w:rsidR="00710528">
                        <w:rPr>
                          <w:b/>
                          <w:color w:val="000000"/>
                          <w:sz w:val="16"/>
                          <w:szCs w:val="16"/>
                        </w:rPr>
                        <w:t>oct</w:t>
                      </w: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-18)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D1296" wp14:editId="3EFECFCC">
                <wp:simplePos x="0" y="0"/>
                <wp:positionH relativeFrom="column">
                  <wp:posOffset>3711575</wp:posOffset>
                </wp:positionH>
                <wp:positionV relativeFrom="paragraph">
                  <wp:posOffset>122555</wp:posOffset>
                </wp:positionV>
                <wp:extent cx="2173605" cy="3276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631B71" w:rsidP="00106E2D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% Variación anual de puestos de trabajo</w:t>
                            </w:r>
                          </w:p>
                          <w:p w:rsidR="00631B71" w:rsidRPr="00631B71" w:rsidRDefault="00631B71" w:rsidP="00631B71">
                            <w:pPr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por sector económico (</w:t>
                            </w:r>
                            <w:r w:rsidR="0071052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oct</w:t>
                            </w: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-19 / </w:t>
                            </w:r>
                            <w:r w:rsidR="0071052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oct</w:t>
                            </w: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-18)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1296" id="_x0000_s1031" type="#_x0000_t202" style="position:absolute;left:0;text-align:left;margin-left:292.25pt;margin-top:9.65pt;width:171.1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ZsFuwIAAMEFAAAOAAAAZHJzL2Uyb0RvYy54bWysVMlu2zAQvRfoPxC8K1pCyZYQuUgsqyiQ&#13;&#10;LkDSD6AlyiIqkSpJW06L/nuHlLckl6ItDwTJGb7Z3szNu33foR1TmkuR4/AqwIiJStZcbHL89bH0&#13;&#10;5hhpQ0VNOylYjp+Yxu8Wb9/cjEPGItnKrmYKAYjQ2TjkuDVmyHxfVy3rqb6SAxMgbKTqqYGr2vi1&#13;&#10;oiOg950fBUHij1LVg5IV0xpei0mIFw6/aVhlPjeNZgZ1OQbfjNuV29d29xc3NNsoOrS8OrhB/8KL&#13;&#10;nnIBRk9QBTUUbRV/BdXzSkktG3NVyd6XTcMr5mKAaMLgRTQPLR2YiwWSo4dTmvT/g60+7b4oxGuo&#13;&#10;HcFI0B5q9Mj2Bt3JPYpsesZBZ6D1MICe2cMzqLpQ9XAvq28aCblsqdiwW6Xk2DJag3uh/elffJ1w&#13;&#10;tAVZjx9lDWbo1kgHtG9Ub3MH2UCADmV6OpXGulLBYxTOrpMgxqgC2XU0SxJXO59mx9+D0uY9kz2y&#13;&#10;hxwrKL1Dp7t7baw3NDuqWGNClrzrXPk78ewBFKcXsA1frcx64ar5Mw3S1Xw1Jx6JkpVHgqLwbssl&#13;&#10;8ZIynMXFdbFcFuEvazckWcvrmglr5siskPxZ5Q4cnzhx4paWHa8tnHVJq8162Sm0o8Ds0i2Xc5Cc&#13;&#10;1fznbrgkQCwvQgojEtxFqVcm85lHShJ76SyYe0GY3qVJQFJSlM9DuueC/XtIaMxxGkfxRKaz0y9i&#13;&#10;C9x6HRvNem5gdnS8z/H8pEQzS8GVqF1pDeXddL5IhXX/nAoo97HQjrCWoxNbzX69d60RH/tgLesn&#13;&#10;YLCSQDCgKcw9OLRS/cBohBmSY/19SxXDqPsgoAvSkBA7dNyFxLMILupSsr6UUFEBVI4NRtNxaaZB&#13;&#10;tR0U37Rgaeo7IW+hcxruSG1bbPLq0G8wJ1xsh5lmB9Hl3WmdJ+/iNwAAAP//AwBQSwMEFAAGAAgA&#13;&#10;AAAhAAx2R1riAAAADgEAAA8AAABkcnMvZG93bnJldi54bWxMj0FPwzAMhe9I/IfISNxYwljH2jWd&#13;&#10;JiauoG2AxC1rvLZa41RNtpZ/jzmxiyXrPT+/L1+NrhUX7EPjScPjRIFAKr1tqNLwsX99WIAI0ZA1&#13;&#10;rSfU8IMBVsXtTW4y6wfa4mUXK8EhFDKjoY6xy6QMZY3OhInvkFg7+t6ZyGtfSdubgcNdK6dKzaUz&#13;&#10;DfGH2nT4UmN52p2dhs+34/fXTL1XG5d0gx+VJJdKre/vxs2Sx3oJIuIY/y/gj4H7Q8HFDv5MNohW&#13;&#10;Q7KYJWxlIX0CwYZ0Omegg4ZnlYIscnmNUfwCAAD//wMAUEsBAi0AFAAGAAgAAAAhALaDOJL+AAAA&#13;&#10;4QEAABMAAAAAAAAAAAAAAAAAAAAAAFtDb250ZW50X1R5cGVzXS54bWxQSwECLQAUAAYACAAAACEA&#13;&#10;OP0h/9YAAACUAQAACwAAAAAAAAAAAAAAAAAvAQAAX3JlbHMvLnJlbHNQSwECLQAUAAYACAAAACEA&#13;&#10;6PGbBbsCAADBBQAADgAAAAAAAAAAAAAAAAAuAgAAZHJzL2Uyb0RvYy54bWxQSwECLQAUAAYACAAA&#13;&#10;ACEADHZHWuIAAAAOAQAADwAAAAAAAAAAAAAAAAAVBQAAZHJzL2Rvd25yZXYueG1sUEsFBgAAAAAE&#13;&#10;AAQA8wAAACQGAAAAAA==&#13;&#10;" filled="f" stroked="f">
                <v:textbox>
                  <w:txbxContent>
                    <w:p w:rsidR="00631B71" w:rsidRPr="00631B71" w:rsidRDefault="00631B71" w:rsidP="00106E2D">
                      <w:pPr>
                        <w:spacing w:after="0" w:line="240" w:lineRule="auto"/>
                        <w:ind w:right="-91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% Variación anual de puestos de trabajo</w:t>
                      </w:r>
                    </w:p>
                    <w:p w:rsidR="00631B71" w:rsidRPr="00631B71" w:rsidRDefault="00631B71" w:rsidP="00631B71">
                      <w:pPr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por sector económico (</w:t>
                      </w:r>
                      <w:r w:rsidR="00710528">
                        <w:rPr>
                          <w:b/>
                          <w:color w:val="000000"/>
                          <w:sz w:val="16"/>
                          <w:szCs w:val="16"/>
                        </w:rPr>
                        <w:t>oct</w:t>
                      </w: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-19 / </w:t>
                      </w:r>
                      <w:r w:rsidR="00710528">
                        <w:rPr>
                          <w:b/>
                          <w:color w:val="000000"/>
                          <w:sz w:val="16"/>
                          <w:szCs w:val="16"/>
                        </w:rPr>
                        <w:t>oct</w:t>
                      </w: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-18)</w:t>
                      </w:r>
                    </w:p>
                  </w:txbxContent>
                </v:textbox>
              </v:shape>
            </w:pict>
          </mc:Fallback>
        </mc:AlternateContent>
      </w:r>
    </w:p>
    <w:p w:rsidR="00631B71" w:rsidRPr="00A81AAB" w:rsidRDefault="00631B71" w:rsidP="00631B71">
      <w:pPr>
        <w:ind w:left="4962" w:right="-142" w:hanging="4962"/>
        <w:rPr>
          <w:noProof/>
          <w:lang w:eastAsia="es-MX"/>
        </w:rPr>
      </w:pPr>
    </w:p>
    <w:p w:rsidR="00631B71" w:rsidRDefault="00612B31" w:rsidP="00631B71">
      <w:pPr>
        <w:spacing w:before="120"/>
        <w:ind w:right="-91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3670300" cy="17145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B71">
        <w:t xml:space="preserve">  </w:t>
      </w:r>
      <w:r w:rsidR="00261C2F">
        <w:t xml:space="preserve"> </w:t>
      </w:r>
      <w:r w:rsidR="00631B71">
        <w:t xml:space="preserve"> </w:t>
      </w:r>
      <w:r>
        <w:rPr>
          <w:noProof/>
          <w:lang w:eastAsia="es-MX"/>
        </w:rPr>
        <w:drawing>
          <wp:inline distT="0" distB="0" distL="0" distR="0">
            <wp:extent cx="1866900" cy="17145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F4" w:rsidRDefault="00707DF4" w:rsidP="00D6260C">
      <w:pPr>
        <w:spacing w:after="0" w:line="240" w:lineRule="auto"/>
        <w:ind w:right="-91"/>
        <w:jc w:val="center"/>
        <w:rPr>
          <w:noProof/>
          <w:lang w:eastAsia="es-MX"/>
        </w:rPr>
      </w:pPr>
    </w:p>
    <w:p w:rsidR="00D00588" w:rsidRDefault="00D00588" w:rsidP="00D6260C">
      <w:pPr>
        <w:spacing w:after="0" w:line="240" w:lineRule="auto"/>
        <w:ind w:right="-91"/>
        <w:jc w:val="center"/>
        <w:rPr>
          <w:noProof/>
          <w:lang w:eastAsia="es-MX"/>
        </w:rPr>
      </w:pPr>
    </w:p>
    <w:p w:rsidR="00D6260C" w:rsidRDefault="00D6260C" w:rsidP="00D6260C">
      <w:pPr>
        <w:spacing w:after="0" w:line="240" w:lineRule="auto"/>
        <w:ind w:right="-91"/>
        <w:jc w:val="center"/>
        <w:rPr>
          <w:noProof/>
          <w:lang w:eastAsia="es-MX"/>
        </w:rPr>
      </w:pPr>
    </w:p>
    <w:p w:rsidR="00631B71" w:rsidRDefault="006C07A0" w:rsidP="00631B71">
      <w:pPr>
        <w:spacing w:before="120"/>
        <w:ind w:right="-91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E818F" wp14:editId="083D34AD">
                <wp:simplePos x="0" y="0"/>
                <wp:positionH relativeFrom="column">
                  <wp:posOffset>3026410</wp:posOffset>
                </wp:positionH>
                <wp:positionV relativeFrom="paragraph">
                  <wp:posOffset>45720</wp:posOffset>
                </wp:positionV>
                <wp:extent cx="2244725" cy="251460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1B71" w:rsidRPr="00631B71" w:rsidRDefault="00631B71" w:rsidP="00106E2D">
                            <w:pPr>
                              <w:spacing w:after="0" w:line="240" w:lineRule="auto"/>
                              <w:ind w:right="-9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Variación anual de patrones</w:t>
                            </w:r>
                          </w:p>
                          <w:p w:rsidR="00631B71" w:rsidRPr="00631B71" w:rsidRDefault="00631B71" w:rsidP="00631B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818F" id="_x0000_s1032" type="#_x0000_t202" style="position:absolute;margin-left:238.3pt;margin-top:3.6pt;width:176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TIYPgIAAFkEAAAOAAAAZHJzL2Uyb0RvYy54bWysVNuO0zAQfUfiHyy/0zRR2oWo6WppVYS0&#13;&#10;sEi7fMDUcS7C8RjbbVK+nrHTlmp5Q+TB8vXMmXNmsrofe8WO0roOdcnT2ZwzqQVWnW5K/v1l9+49&#13;&#10;Z86DrkChliU/Scfv12/frAZTyAxbVJW0jEC0KwZT8tZ7UySJE63swc3QSE2HNdoePC1tk1QWBkLv&#13;&#10;VZLN58tkQFsZi0I6R7vb6ZCvI35dS+Gf6tpJz1TJiZuPo43jPozJegVFY8G0nTjTgH9g0UOnKegV&#13;&#10;agse2MF2f0H1nbDosPYzgX2Cdd0JGXOgbNL5q2yeWzAy5kLiOHOVyf0/WPH1+M2yriLvUs409OTR&#13;&#10;ixw9+4gjy4I8g3EF3Xo2dM+PtE1XY6rOPKL44ZjGTQu6kQ/W4tBKqIheGl4mN08nHBdA9sMXrCgM&#13;&#10;HDxGoLG2fdCO1GCETjadrtYEKoI2syzP77IFZ4LOskWaL6N3CRSX18Y6/0liz8Kk5Jasj+hwfHQ+&#13;&#10;sIHiciUEc6i6atcpFRcnt1GWHYGqhIqrwoEzBc7TZsl38YsJvXqmNBsCm3xOnAVQ+dYKPE17Q4I6&#13;&#10;3XAGqqG+EN5GLhpDxFhzgcsWXDsFjWzOIZQOlGQs3jP1IGTQblLRj/sxWra8+LPH6kTKWpzqm/qR&#13;&#10;Ji3aX5wNVNvE5ecBrKSkPmty50Oa56EZ4iJf3GW0sLcn+9sT0IKgSk6JTdONnxroYGzXtBRpqgeN&#13;&#10;D+Ro3UWxA+OJ1bkOqH6jB+deCw1yu463/vwR1r8BAAD//wMAUEsDBBQABgAIAAAAIQCq4kHf4wAA&#13;&#10;AA0BAAAPAAAAZHJzL2Rvd25yZXYueG1sTI/BTsMwEETvSPyDtUjcqJMW3CiNUyEQSEhcKJXocRO7&#13;&#10;SdTYDrGbuH/PcoLLSqs3OztTbKPp2aRH3zkrIV0kwLStnepsI2H/+XKXAfMBrcLeWS3hoj1sy+ur&#13;&#10;AnPlZvuhp11oGJlYn6OENoQh59zXrTboF27QltjRjQYDrWPD1YgzmZueL5NEcIOdpQ8tDvqp1fVp&#13;&#10;dzYS3uJ3uLh9t0qr+Ti9xy9xeHhFKW9v4vOGxuMGWNAx/F3AbwfKDyUFq9zZKs96CfdrIUgqYb0E&#13;&#10;RjxbJSmwioDIgJcF/9+i/AEAAP//AwBQSwECLQAUAAYACAAAACEAtoM4kv4AAADhAQAAEwAAAAAA&#13;&#10;AAAAAAAAAAAAAAAAW0NvbnRlbnRfVHlwZXNdLnhtbFBLAQItABQABgAIAAAAIQA4/SH/1gAAAJQB&#13;&#10;AAALAAAAAAAAAAAAAAAAAC8BAABfcmVscy8ucmVsc1BLAQItABQABgAIAAAAIQDxDTIYPgIAAFkE&#13;&#10;AAAOAAAAAAAAAAAAAAAAAC4CAABkcnMvZTJvRG9jLnhtbFBLAQItABQABgAIAAAAIQCq4kHf4wAA&#13;&#10;AA0BAAAPAAAAAAAAAAAAAAAAAJgEAABkcnMvZG93bnJldi54bWxQSwUGAAAAAAQABADzAAAAqAUA&#13;&#10;AAAA&#13;&#10;" fillcolor="window" stroked="f" strokeweight="2pt">
                <v:textbox>
                  <w:txbxContent>
                    <w:p w:rsidR="00631B71" w:rsidRPr="00631B71" w:rsidRDefault="00631B71" w:rsidP="00106E2D">
                      <w:pPr>
                        <w:spacing w:after="0" w:line="240" w:lineRule="auto"/>
                        <w:ind w:right="-9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Variación anual de patrones</w:t>
                      </w:r>
                    </w:p>
                    <w:p w:rsidR="00631B71" w:rsidRPr="00631B71" w:rsidRDefault="00631B71" w:rsidP="00631B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A8FA4" wp14:editId="2905424C">
                <wp:simplePos x="0" y="0"/>
                <wp:positionH relativeFrom="column">
                  <wp:posOffset>-60325</wp:posOffset>
                </wp:positionH>
                <wp:positionV relativeFrom="paragraph">
                  <wp:posOffset>46355</wp:posOffset>
                </wp:positionV>
                <wp:extent cx="2643505" cy="2495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B71" w:rsidRPr="00631B71" w:rsidRDefault="00631B71" w:rsidP="00D54D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B7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% Variación anual nominal de salario base de cotización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8FA4" id="_x0000_s1033" type="#_x0000_t202" style="position:absolute;margin-left:-4.75pt;margin-top:3.65pt;width:208.1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pfOuAIAAME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CnoH5RG0gx49sNGgWzmiyJZn6HUKXvc9+JkRjsHVUdX9nSy/aiTkqqFiy26UkkPDaAXphfamf3Z1&#13;&#10;wtEWZDN8kBWEoTsjHdBYq87WDqqBAB3yeDy1xqZSwmE0I5dxEGNUgi0iSRzHLgRNj7d7pc07Jjtk&#13;&#10;FxlW0HqHTvd32thsaHp0scGELHjbuva34tkBOE4nEBuuWpvNwnXzRxIk68V6QTwSzdYeCfLcuylW&#13;&#10;xJsV4TzOL/PVKg9/2rghSRteVUzYMEdlheTPOnfQ+KSJk7a0bHll4WxKWm03q1ahPQVlF+47FOTM&#13;&#10;zX+ehisCcHlBKYxIcBslXjFbzD1SkNhL5sHCC8LkNpkFJCF58ZzSHRfs3ymhIcNJHMWTmH7LLXDf&#13;&#10;a2407biB2dHyLsOLkxNNrQTXonKtNZS30/qsFDb9p1JAu4+NdoK1Gp3UasbN6J7G3Ea3Yt7I6hEU&#13;&#10;rCQIDGQKcw8WjVTfMRpghmRYf9tRxTBq3wt4BUlIiB06bkPieQQbdW7ZnFuoKAEqwwajabky06Da&#13;&#10;9YpvG4g0vTshb+Dl1NyJ+imrw3uDOeG4HWaaHUTne+f1NHmXvwAAAP//AwBQSwMEFAAGAAgAAAAh&#13;&#10;AFOfDG3gAAAADAEAAA8AAABkcnMvZG93bnJldi54bWxMj09PwzAMxe9IfIfISNw2B9gK65pOiIkr&#13;&#10;iPFH4pY1XlvROFWTreXbY05wsWw9+/n9is3kO3WiIbaBDVzNNSjiKriWawNvr4+zO1AxWXa2C0wG&#13;&#10;vinCpjw/K2zuwsgvdNqlWokJx9waaFLqc8RYNeRtnIeeWLRDGLxNMg41usGOYu47vNY6Q29blg+N&#13;&#10;7emhoeprd/QG3p8Onx8L/Vxv/bIfw6SR/QqNubyYtmsp92tQiab0dwG/DJIfSgm2D0d2UXUGZqul&#13;&#10;bBq4vQEl8kJngrOXJssAywL/Q5Q/AAAA//8DAFBLAQItABQABgAIAAAAIQC2gziS/gAAAOEBAAAT&#13;&#10;AAAAAAAAAAAAAAAAAAAAAABbQ29udGVudF9UeXBlc10ueG1sUEsBAi0AFAAGAAgAAAAhADj9If/W&#13;&#10;AAAAlAEAAAsAAAAAAAAAAAAAAAAALwEAAF9yZWxzLy5yZWxzUEsBAi0AFAAGAAgAAAAhAJ9Kl864&#13;&#10;AgAAwQUAAA4AAAAAAAAAAAAAAAAALgIAAGRycy9lMm9Eb2MueG1sUEsBAi0AFAAGAAgAAAAhAFOf&#13;&#10;DG3gAAAADAEAAA8AAAAAAAAAAAAAAAAAEgUAAGRycy9kb3ducmV2LnhtbFBLBQYAAAAABAAEAPMA&#13;&#10;AAAfBgAAAAA=&#13;&#10;" filled="f" stroked="f">
                <v:textbox>
                  <w:txbxContent>
                    <w:p w:rsidR="00631B71" w:rsidRPr="00631B71" w:rsidRDefault="00631B71" w:rsidP="00D54DE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1B71">
                        <w:rPr>
                          <w:b/>
                          <w:color w:val="000000"/>
                          <w:sz w:val="16"/>
                          <w:szCs w:val="16"/>
                        </w:rPr>
                        <w:t>% Variación anual nominal de salario base de cotización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31B71" w:rsidRDefault="00612B31" w:rsidP="00631B71">
      <w:pPr>
        <w:spacing w:before="120"/>
        <w:ind w:right="-1"/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2425700" cy="17526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169">
        <w:rPr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>
            <wp:extent cx="3098800" cy="17653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71" w:rsidRDefault="00631B71" w:rsidP="00631B71">
      <w:pPr>
        <w:ind w:right="-91"/>
      </w:pPr>
    </w:p>
    <w:sectPr w:rsidR="00631B71" w:rsidSect="00717AC1">
      <w:headerReference w:type="default" r:id="rId15"/>
      <w:footerReference w:type="default" r:id="rId1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A1" w:rsidRDefault="00F922A1" w:rsidP="00F20117">
      <w:pPr>
        <w:spacing w:after="0" w:line="240" w:lineRule="auto"/>
      </w:pPr>
      <w:r>
        <w:separator/>
      </w:r>
    </w:p>
  </w:endnote>
  <w:endnote w:type="continuationSeparator" w:id="0">
    <w:p w:rsidR="00F922A1" w:rsidRDefault="00F922A1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Arial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17" w:rsidRDefault="006C07A0">
    <w:pPr>
      <w:pStyle w:val="Foo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A1" w:rsidRDefault="00F922A1" w:rsidP="00F20117">
      <w:pPr>
        <w:spacing w:after="0" w:line="240" w:lineRule="auto"/>
      </w:pPr>
      <w:r>
        <w:separator/>
      </w:r>
    </w:p>
  </w:footnote>
  <w:footnote w:type="continuationSeparator" w:id="0">
    <w:p w:rsidR="00F922A1" w:rsidRDefault="00F922A1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17" w:rsidRDefault="006C07A0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22B8"/>
    <w:multiLevelType w:val="hybridMultilevel"/>
    <w:tmpl w:val="3FEA7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95"/>
    <w:rsid w:val="00000502"/>
    <w:rsid w:val="000011A0"/>
    <w:rsid w:val="00002B9E"/>
    <w:rsid w:val="00007D59"/>
    <w:rsid w:val="0001296E"/>
    <w:rsid w:val="00013B46"/>
    <w:rsid w:val="0001550D"/>
    <w:rsid w:val="00015C2E"/>
    <w:rsid w:val="00025360"/>
    <w:rsid w:val="00053322"/>
    <w:rsid w:val="00066B67"/>
    <w:rsid w:val="00075119"/>
    <w:rsid w:val="00092853"/>
    <w:rsid w:val="000A74B0"/>
    <w:rsid w:val="000B28AA"/>
    <w:rsid w:val="000C5C31"/>
    <w:rsid w:val="000D4E90"/>
    <w:rsid w:val="000E0A8A"/>
    <w:rsid w:val="000E140F"/>
    <w:rsid w:val="000E3B67"/>
    <w:rsid w:val="000F5022"/>
    <w:rsid w:val="000F58A6"/>
    <w:rsid w:val="00100409"/>
    <w:rsid w:val="00106E2D"/>
    <w:rsid w:val="00110252"/>
    <w:rsid w:val="00112EDE"/>
    <w:rsid w:val="0011738C"/>
    <w:rsid w:val="00121DD7"/>
    <w:rsid w:val="00125517"/>
    <w:rsid w:val="001369EF"/>
    <w:rsid w:val="00137247"/>
    <w:rsid w:val="001465EB"/>
    <w:rsid w:val="0015128F"/>
    <w:rsid w:val="0016166B"/>
    <w:rsid w:val="001719CC"/>
    <w:rsid w:val="001740D8"/>
    <w:rsid w:val="00183F19"/>
    <w:rsid w:val="00192ADE"/>
    <w:rsid w:val="0019497D"/>
    <w:rsid w:val="001A5E11"/>
    <w:rsid w:val="001B291C"/>
    <w:rsid w:val="001B5C9C"/>
    <w:rsid w:val="001D762E"/>
    <w:rsid w:val="001E1663"/>
    <w:rsid w:val="001E22B6"/>
    <w:rsid w:val="001F2488"/>
    <w:rsid w:val="00210AC0"/>
    <w:rsid w:val="002145EE"/>
    <w:rsid w:val="0022258A"/>
    <w:rsid w:val="0022624C"/>
    <w:rsid w:val="00240960"/>
    <w:rsid w:val="00242AB0"/>
    <w:rsid w:val="00244ED2"/>
    <w:rsid w:val="00246172"/>
    <w:rsid w:val="00251DCC"/>
    <w:rsid w:val="00261C2F"/>
    <w:rsid w:val="00265E6F"/>
    <w:rsid w:val="002A25FA"/>
    <w:rsid w:val="002C10D0"/>
    <w:rsid w:val="002C7DB2"/>
    <w:rsid w:val="002E0FC3"/>
    <w:rsid w:val="002E73BB"/>
    <w:rsid w:val="002F10BA"/>
    <w:rsid w:val="002F6019"/>
    <w:rsid w:val="00301152"/>
    <w:rsid w:val="003016CA"/>
    <w:rsid w:val="003106DA"/>
    <w:rsid w:val="003145F5"/>
    <w:rsid w:val="00316894"/>
    <w:rsid w:val="00325C93"/>
    <w:rsid w:val="0033427F"/>
    <w:rsid w:val="00347F57"/>
    <w:rsid w:val="0035177E"/>
    <w:rsid w:val="00357A9F"/>
    <w:rsid w:val="00360D51"/>
    <w:rsid w:val="00363945"/>
    <w:rsid w:val="00364965"/>
    <w:rsid w:val="00375235"/>
    <w:rsid w:val="003867F2"/>
    <w:rsid w:val="003B1750"/>
    <w:rsid w:val="003B1C21"/>
    <w:rsid w:val="003B4334"/>
    <w:rsid w:val="003C3E5D"/>
    <w:rsid w:val="003E0869"/>
    <w:rsid w:val="003E2866"/>
    <w:rsid w:val="003F347D"/>
    <w:rsid w:val="003F5E98"/>
    <w:rsid w:val="003F6179"/>
    <w:rsid w:val="00403E0B"/>
    <w:rsid w:val="00413855"/>
    <w:rsid w:val="004170FA"/>
    <w:rsid w:val="00437EC9"/>
    <w:rsid w:val="0045072A"/>
    <w:rsid w:val="0045555F"/>
    <w:rsid w:val="0046533D"/>
    <w:rsid w:val="004655FC"/>
    <w:rsid w:val="00465F2E"/>
    <w:rsid w:val="00490B43"/>
    <w:rsid w:val="004A2507"/>
    <w:rsid w:val="004A34CF"/>
    <w:rsid w:val="004B6406"/>
    <w:rsid w:val="004B7105"/>
    <w:rsid w:val="004D18D3"/>
    <w:rsid w:val="004E5E6A"/>
    <w:rsid w:val="004F21DB"/>
    <w:rsid w:val="004F428D"/>
    <w:rsid w:val="005171D2"/>
    <w:rsid w:val="00517FAE"/>
    <w:rsid w:val="0053482E"/>
    <w:rsid w:val="0054128D"/>
    <w:rsid w:val="005414F7"/>
    <w:rsid w:val="005542F3"/>
    <w:rsid w:val="00595169"/>
    <w:rsid w:val="005976F3"/>
    <w:rsid w:val="005A5D4A"/>
    <w:rsid w:val="005A6C41"/>
    <w:rsid w:val="005C2CC5"/>
    <w:rsid w:val="005D5A74"/>
    <w:rsid w:val="005E335F"/>
    <w:rsid w:val="005F5CC4"/>
    <w:rsid w:val="00612B31"/>
    <w:rsid w:val="00617B78"/>
    <w:rsid w:val="00625765"/>
    <w:rsid w:val="00625CA6"/>
    <w:rsid w:val="00631B71"/>
    <w:rsid w:val="00643B3E"/>
    <w:rsid w:val="00656ADC"/>
    <w:rsid w:val="006847A0"/>
    <w:rsid w:val="006B0E62"/>
    <w:rsid w:val="006C07A0"/>
    <w:rsid w:val="006C3A75"/>
    <w:rsid w:val="006C4BB1"/>
    <w:rsid w:val="006C5D2D"/>
    <w:rsid w:val="006D15AB"/>
    <w:rsid w:val="006F0583"/>
    <w:rsid w:val="00707DF4"/>
    <w:rsid w:val="00710528"/>
    <w:rsid w:val="0071769F"/>
    <w:rsid w:val="00717AC1"/>
    <w:rsid w:val="00720CD3"/>
    <w:rsid w:val="00727BB5"/>
    <w:rsid w:val="00731095"/>
    <w:rsid w:val="007345D9"/>
    <w:rsid w:val="00752D08"/>
    <w:rsid w:val="00777A38"/>
    <w:rsid w:val="00784A32"/>
    <w:rsid w:val="00787933"/>
    <w:rsid w:val="007962F0"/>
    <w:rsid w:val="00796A73"/>
    <w:rsid w:val="007A0194"/>
    <w:rsid w:val="007B06CD"/>
    <w:rsid w:val="007B3462"/>
    <w:rsid w:val="007C25C8"/>
    <w:rsid w:val="007C7F5B"/>
    <w:rsid w:val="007D13CF"/>
    <w:rsid w:val="007E65DB"/>
    <w:rsid w:val="007F1B31"/>
    <w:rsid w:val="007F2E29"/>
    <w:rsid w:val="007F4298"/>
    <w:rsid w:val="00825760"/>
    <w:rsid w:val="00830EFE"/>
    <w:rsid w:val="008327E0"/>
    <w:rsid w:val="00836CEC"/>
    <w:rsid w:val="00871FBB"/>
    <w:rsid w:val="0089737A"/>
    <w:rsid w:val="008B5D35"/>
    <w:rsid w:val="008B5D8E"/>
    <w:rsid w:val="008F4565"/>
    <w:rsid w:val="0090111D"/>
    <w:rsid w:val="009035DA"/>
    <w:rsid w:val="00915CD1"/>
    <w:rsid w:val="009334E0"/>
    <w:rsid w:val="00933A72"/>
    <w:rsid w:val="009520BB"/>
    <w:rsid w:val="009549AA"/>
    <w:rsid w:val="00954B71"/>
    <w:rsid w:val="00957D95"/>
    <w:rsid w:val="009621AB"/>
    <w:rsid w:val="00962440"/>
    <w:rsid w:val="00966244"/>
    <w:rsid w:val="009735B2"/>
    <w:rsid w:val="00977DE3"/>
    <w:rsid w:val="009922A8"/>
    <w:rsid w:val="009949E5"/>
    <w:rsid w:val="009A6061"/>
    <w:rsid w:val="009F0F1A"/>
    <w:rsid w:val="009F744B"/>
    <w:rsid w:val="00A027A3"/>
    <w:rsid w:val="00A110C3"/>
    <w:rsid w:val="00A11415"/>
    <w:rsid w:val="00A11BAD"/>
    <w:rsid w:val="00A15AE0"/>
    <w:rsid w:val="00A31D6A"/>
    <w:rsid w:val="00A34F4B"/>
    <w:rsid w:val="00A5668A"/>
    <w:rsid w:val="00A61765"/>
    <w:rsid w:val="00A74194"/>
    <w:rsid w:val="00A8338F"/>
    <w:rsid w:val="00A84B04"/>
    <w:rsid w:val="00A91B1C"/>
    <w:rsid w:val="00A943E3"/>
    <w:rsid w:val="00AB0905"/>
    <w:rsid w:val="00AB4BD1"/>
    <w:rsid w:val="00AD1D3D"/>
    <w:rsid w:val="00AD6032"/>
    <w:rsid w:val="00AE643D"/>
    <w:rsid w:val="00AE7D2C"/>
    <w:rsid w:val="00AF264B"/>
    <w:rsid w:val="00AF6388"/>
    <w:rsid w:val="00B16923"/>
    <w:rsid w:val="00B4102E"/>
    <w:rsid w:val="00B45CFD"/>
    <w:rsid w:val="00B46E27"/>
    <w:rsid w:val="00B6608A"/>
    <w:rsid w:val="00B7185D"/>
    <w:rsid w:val="00B86D8D"/>
    <w:rsid w:val="00B90C1E"/>
    <w:rsid w:val="00B91862"/>
    <w:rsid w:val="00B946CB"/>
    <w:rsid w:val="00BB0B0C"/>
    <w:rsid w:val="00BC1A02"/>
    <w:rsid w:val="00BD13DB"/>
    <w:rsid w:val="00BF3040"/>
    <w:rsid w:val="00C10BD6"/>
    <w:rsid w:val="00C35DE7"/>
    <w:rsid w:val="00C4668F"/>
    <w:rsid w:val="00C50096"/>
    <w:rsid w:val="00C5087F"/>
    <w:rsid w:val="00C5098F"/>
    <w:rsid w:val="00C52DBA"/>
    <w:rsid w:val="00C70DAD"/>
    <w:rsid w:val="00C763A1"/>
    <w:rsid w:val="00C867FC"/>
    <w:rsid w:val="00CA3C9B"/>
    <w:rsid w:val="00CB73D5"/>
    <w:rsid w:val="00CE5AB9"/>
    <w:rsid w:val="00CF7765"/>
    <w:rsid w:val="00D00588"/>
    <w:rsid w:val="00D00C74"/>
    <w:rsid w:val="00D44994"/>
    <w:rsid w:val="00D47772"/>
    <w:rsid w:val="00D54DE7"/>
    <w:rsid w:val="00D61262"/>
    <w:rsid w:val="00D6260C"/>
    <w:rsid w:val="00D83585"/>
    <w:rsid w:val="00D84D6E"/>
    <w:rsid w:val="00D87882"/>
    <w:rsid w:val="00D90F9F"/>
    <w:rsid w:val="00D949EB"/>
    <w:rsid w:val="00DB7F78"/>
    <w:rsid w:val="00DC3C24"/>
    <w:rsid w:val="00DD149C"/>
    <w:rsid w:val="00DD4EA5"/>
    <w:rsid w:val="00DD5C03"/>
    <w:rsid w:val="00DE3EE9"/>
    <w:rsid w:val="00DF3289"/>
    <w:rsid w:val="00DF3A80"/>
    <w:rsid w:val="00E020D6"/>
    <w:rsid w:val="00E114B4"/>
    <w:rsid w:val="00E4557F"/>
    <w:rsid w:val="00E468B2"/>
    <w:rsid w:val="00E60320"/>
    <w:rsid w:val="00E754A3"/>
    <w:rsid w:val="00E9040F"/>
    <w:rsid w:val="00EB6D6E"/>
    <w:rsid w:val="00EC6F29"/>
    <w:rsid w:val="00ED0A2C"/>
    <w:rsid w:val="00ED3D07"/>
    <w:rsid w:val="00EF1F60"/>
    <w:rsid w:val="00EF6478"/>
    <w:rsid w:val="00EF6D16"/>
    <w:rsid w:val="00F134B1"/>
    <w:rsid w:val="00F20117"/>
    <w:rsid w:val="00F27A2D"/>
    <w:rsid w:val="00F409B8"/>
    <w:rsid w:val="00F4154B"/>
    <w:rsid w:val="00F56687"/>
    <w:rsid w:val="00F57541"/>
    <w:rsid w:val="00F7117D"/>
    <w:rsid w:val="00F72532"/>
    <w:rsid w:val="00F9011F"/>
    <w:rsid w:val="00F922A1"/>
    <w:rsid w:val="00FB261A"/>
    <w:rsid w:val="00FB2E87"/>
    <w:rsid w:val="00FC6699"/>
    <w:rsid w:val="00FD0422"/>
    <w:rsid w:val="00FD5566"/>
    <w:rsid w:val="00FD75A3"/>
    <w:rsid w:val="00FE1CDE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CEB11-5E60-BD44-8A92-C5EED59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17"/>
  </w:style>
  <w:style w:type="paragraph" w:styleId="Footer">
    <w:name w:val="footer"/>
    <w:basedOn w:val="Normal"/>
    <w:link w:val="FooterCh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17"/>
  </w:style>
  <w:style w:type="paragraph" w:styleId="ListParagraph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0F69-5394-CC4D-B11D-5F0123C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C:\Users\cristina.carbajalt\Desktop\250619 Plantilla boletín 2019 última OK.dot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Eduardo Serrano Ruiz</cp:lastModifiedBy>
  <cp:revision>2</cp:revision>
  <cp:lastPrinted>2019-06-25T20:41:00Z</cp:lastPrinted>
  <dcterms:created xsi:type="dcterms:W3CDTF">2019-11-12T19:01:00Z</dcterms:created>
  <dcterms:modified xsi:type="dcterms:W3CDTF">2019-11-12T19:01:00Z</dcterms:modified>
</cp:coreProperties>
</file>